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 xml:space="preserve">2025年陕西省中考地理试题 </w:t>
      </w:r>
    </w:p>
    <w:p w14:paraId="56AA1803">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32356353">
      <w:pPr>
        <w:jc w:val="center"/>
        <w:textAlignment w:val="center"/>
        <w:rPr>
          <w:rFonts w:ascii="黑体" w:hAnsi="黑体" w:eastAsia="黑体" w:cs="黑体"/>
          <w:b/>
          <w:i w:val="0"/>
          <w:color w:val="000000"/>
          <w:sz w:val="30"/>
        </w:rPr>
      </w:pPr>
    </w:p>
    <w:p w14:paraId="3E773C39">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01E85809">
      <w:pPr>
        <w:shd w:val="clear" w:color="auto" w:fill="auto"/>
        <w:spacing w:line="360" w:lineRule="auto"/>
        <w:ind w:firstLine="560"/>
        <w:jc w:val="left"/>
        <w:textAlignment w:val="center"/>
      </w:pPr>
      <w:r>
        <w:rPr>
          <w:rFonts w:ascii="楷体" w:hAnsi="楷体" w:eastAsia="楷体" w:cs="楷体"/>
          <w:sz w:val="21"/>
        </w:rPr>
        <w:t>如图为北京市某区域核心地段地下环廊某一入口处照片（面向太阳拍摄），该环廊连接区域内</w:t>
      </w:r>
      <w:r>
        <w:rPr>
          <w:sz w:val="21"/>
        </w:rPr>
        <w:t>20</w:t>
      </w:r>
      <w:r>
        <w:rPr>
          <w:rFonts w:ascii="楷体" w:hAnsi="楷体" w:eastAsia="楷体" w:cs="楷体"/>
          <w:sz w:val="21"/>
        </w:rPr>
        <w:t>多栋大厦的地下停车场（</w:t>
      </w:r>
      <w:r>
        <w:rPr>
          <w:sz w:val="21"/>
        </w:rPr>
        <w:t>P</w:t>
      </w:r>
      <w:r>
        <w:rPr>
          <w:rFonts w:ascii="楷体" w:hAnsi="楷体" w:eastAsia="楷体" w:cs="楷体"/>
          <w:sz w:val="21"/>
        </w:rPr>
        <w:t>），通过智能交通管理系统优化交通流量。环廊入口处上方的电子显示屏显示了环廊内部道路及剩余车位分布概况。据此完成下面小题。</w:t>
      </w:r>
    </w:p>
    <w:p w14:paraId="6CAFE115">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3705225" cy="1485900"/>
            <wp:effectExtent l="0" t="0" r="9525" b="0"/>
            <wp:docPr id="100003" name="图片 100003" descr="@@@4e49e23aaff3483bba4f9e576143df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e49e23aaff3483bba4f9e576143df8a"/>
                    <pic:cNvPicPr>
                      <a:picLocks noChangeAspect="1"/>
                    </pic:cNvPicPr>
                  </pic:nvPicPr>
                  <pic:blipFill>
                    <a:blip r:embed="rId9"/>
                    <a:stretch>
                      <a:fillRect/>
                    </a:stretch>
                  </pic:blipFill>
                  <pic:spPr>
                    <a:xfrm>
                      <a:off x="0" y="0"/>
                      <a:ext cx="3705225" cy="1485900"/>
                    </a:xfrm>
                    <a:prstGeom prst="rect">
                      <a:avLst/>
                    </a:prstGeom>
                  </pic:spPr>
                </pic:pic>
              </a:graphicData>
            </a:graphic>
          </wp:inline>
        </w:drawing>
      </w:r>
    </w:p>
    <w:p w14:paraId="2209A20F">
      <w:pPr>
        <w:shd w:val="clear" w:color="auto" w:fill="auto"/>
        <w:spacing w:line="360" w:lineRule="auto"/>
        <w:jc w:val="left"/>
        <w:textAlignment w:val="center"/>
        <w:rPr>
          <w:sz w:val="21"/>
        </w:rPr>
      </w:pPr>
      <w:r>
        <w:rPr>
          <w:sz w:val="21"/>
        </w:rPr>
        <w:t>1．照片中的环廊入口对应上方电子显示屏四处入口中的（</w:t>
      </w:r>
      <w:r>
        <w:rPr>
          <w:rFonts w:ascii="Times New Roman" w:hAnsi="Times New Roman" w:eastAsia="Times New Roman" w:cs="Times New Roman"/>
          <w:kern w:val="0"/>
          <w:sz w:val="24"/>
          <w:szCs w:val="24"/>
        </w:rPr>
        <w:t>   </w:t>
      </w:r>
      <w:r>
        <w:rPr>
          <w:sz w:val="21"/>
        </w:rPr>
        <w:t>）</w:t>
      </w:r>
    </w:p>
    <w:p w14:paraId="6D6D8149">
      <w:pPr>
        <w:shd w:val="clear" w:color="auto" w:fill="auto"/>
        <w:tabs>
          <w:tab w:val="left" w:pos="2078"/>
          <w:tab w:val="left" w:pos="4156"/>
          <w:tab w:val="left" w:pos="6234"/>
        </w:tabs>
        <w:spacing w:line="360" w:lineRule="auto"/>
        <w:ind w:left="30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39F55608">
      <w:pPr>
        <w:shd w:val="clear" w:color="auto" w:fill="auto"/>
        <w:spacing w:line="360" w:lineRule="auto"/>
        <w:jc w:val="left"/>
        <w:textAlignment w:val="center"/>
        <w:rPr>
          <w:sz w:val="21"/>
        </w:rPr>
      </w:pPr>
      <w:r>
        <w:rPr>
          <w:sz w:val="21"/>
        </w:rPr>
        <w:t>2．根据电子显示屏及入口处标识牌可判断该环廊（</w:t>
      </w:r>
      <w:r>
        <w:rPr>
          <w:rFonts w:ascii="Times New Roman" w:hAnsi="Times New Roman" w:eastAsia="Times New Roman" w:cs="Times New Roman"/>
          <w:kern w:val="0"/>
          <w:sz w:val="24"/>
          <w:szCs w:val="24"/>
        </w:rPr>
        <w:t>   </w:t>
      </w:r>
      <w:r>
        <w:rPr>
          <w:sz w:val="21"/>
        </w:rPr>
        <w:t>）</w:t>
      </w:r>
    </w:p>
    <w:p w14:paraId="7A9DB313">
      <w:pPr>
        <w:shd w:val="clear" w:color="auto" w:fill="auto"/>
        <w:tabs>
          <w:tab w:val="left" w:pos="4156"/>
        </w:tabs>
        <w:spacing w:line="360" w:lineRule="auto"/>
        <w:ind w:left="300"/>
        <w:jc w:val="left"/>
        <w:textAlignment w:val="center"/>
        <w:rPr>
          <w:sz w:val="21"/>
        </w:rPr>
      </w:pPr>
      <w:r>
        <w:rPr>
          <w:sz w:val="21"/>
        </w:rPr>
        <w:t>A．允许行人穿越</w:t>
      </w:r>
      <w:r>
        <w:rPr>
          <w:sz w:val="21"/>
        </w:rPr>
        <w:tab/>
      </w:r>
      <w:r>
        <w:rPr>
          <w:sz w:val="21"/>
        </w:rPr>
        <w:t>B．任何车辆都可以出入</w:t>
      </w:r>
    </w:p>
    <w:p w14:paraId="514CB382">
      <w:pPr>
        <w:shd w:val="clear" w:color="auto" w:fill="auto"/>
        <w:tabs>
          <w:tab w:val="left" w:pos="4156"/>
        </w:tabs>
        <w:spacing w:line="360" w:lineRule="auto"/>
        <w:ind w:left="300"/>
        <w:jc w:val="left"/>
        <w:textAlignment w:val="center"/>
        <w:rPr>
          <w:sz w:val="21"/>
        </w:rPr>
      </w:pPr>
      <w:r>
        <w:rPr>
          <w:sz w:val="21"/>
        </w:rPr>
        <w:t>C．剩余车位充足</w:t>
      </w:r>
      <w:r>
        <w:rPr>
          <w:sz w:val="21"/>
        </w:rPr>
        <w:tab/>
      </w:r>
      <w:r>
        <w:rPr>
          <w:sz w:val="21"/>
        </w:rPr>
        <w:t>D．未与周边主干道连通</w:t>
      </w:r>
    </w:p>
    <w:p w14:paraId="61F7D80E">
      <w:pPr>
        <w:shd w:val="clear" w:color="auto" w:fill="auto"/>
        <w:spacing w:line="360" w:lineRule="auto"/>
        <w:jc w:val="left"/>
        <w:textAlignment w:val="center"/>
        <w:rPr>
          <w:sz w:val="21"/>
        </w:rPr>
      </w:pPr>
      <w:r>
        <w:rPr>
          <w:sz w:val="21"/>
        </w:rPr>
        <w:t>3．该区域修建地下环廊的意义不包括（</w:t>
      </w:r>
      <w:r>
        <w:rPr>
          <w:rFonts w:ascii="Times New Roman" w:hAnsi="Times New Roman" w:eastAsia="Times New Roman" w:cs="Times New Roman"/>
          <w:kern w:val="0"/>
          <w:sz w:val="24"/>
          <w:szCs w:val="24"/>
        </w:rPr>
        <w:t>   </w:t>
      </w:r>
      <w:r>
        <w:rPr>
          <w:sz w:val="21"/>
        </w:rPr>
        <w:t>）</w:t>
      </w:r>
    </w:p>
    <w:p w14:paraId="65785158">
      <w:pPr>
        <w:shd w:val="clear" w:color="auto" w:fill="auto"/>
        <w:tabs>
          <w:tab w:val="left" w:pos="4156"/>
        </w:tabs>
        <w:spacing w:line="360" w:lineRule="auto"/>
        <w:ind w:left="300"/>
        <w:jc w:val="left"/>
        <w:textAlignment w:val="center"/>
        <w:rPr>
          <w:sz w:val="21"/>
        </w:rPr>
      </w:pPr>
      <w:r>
        <w:rPr>
          <w:sz w:val="21"/>
        </w:rPr>
        <w:t>A．引导车辆合理停车</w:t>
      </w:r>
      <w:r>
        <w:rPr>
          <w:sz w:val="21"/>
        </w:rPr>
        <w:tab/>
      </w:r>
      <w:r>
        <w:rPr>
          <w:sz w:val="21"/>
        </w:rPr>
        <w:t>B．缓解地面交通拥堵</w:t>
      </w:r>
    </w:p>
    <w:p w14:paraId="53A0AE6B">
      <w:pPr>
        <w:shd w:val="clear" w:color="auto" w:fill="auto"/>
        <w:tabs>
          <w:tab w:val="left" w:pos="4156"/>
        </w:tabs>
        <w:spacing w:line="360" w:lineRule="auto"/>
        <w:ind w:left="300"/>
        <w:jc w:val="left"/>
        <w:textAlignment w:val="center"/>
        <w:rPr>
          <w:sz w:val="21"/>
        </w:rPr>
      </w:pPr>
      <w:r>
        <w:rPr>
          <w:sz w:val="21"/>
        </w:rPr>
        <w:t>C．提升土地利用效率</w:t>
      </w:r>
      <w:r>
        <w:rPr>
          <w:sz w:val="21"/>
        </w:rPr>
        <w:tab/>
      </w:r>
      <w:r>
        <w:rPr>
          <w:sz w:val="21"/>
        </w:rPr>
        <w:t>D．加强北京对外联系</w:t>
      </w:r>
    </w:p>
    <w:p w14:paraId="61E415D9">
      <w:pPr>
        <w:shd w:val="clear" w:color="auto" w:fill="auto"/>
        <w:tabs>
          <w:tab w:val="left" w:pos="4156"/>
        </w:tabs>
        <w:spacing w:line="360" w:lineRule="auto"/>
        <w:ind w:left="300"/>
        <w:jc w:val="left"/>
        <w:textAlignment w:val="center"/>
        <w:rPr>
          <w:sz w:val="21"/>
        </w:rPr>
      </w:pPr>
    </w:p>
    <w:p w14:paraId="5959E11A">
      <w:pPr>
        <w:shd w:val="clear" w:color="auto" w:fill="auto"/>
        <w:spacing w:line="360" w:lineRule="auto"/>
        <w:ind w:firstLine="560"/>
        <w:jc w:val="left"/>
        <w:textAlignment w:val="center"/>
        <w:rPr>
          <w:sz w:val="21"/>
        </w:rPr>
      </w:pPr>
      <w:r>
        <w:rPr>
          <w:rFonts w:ascii="楷体" w:hAnsi="楷体" w:eastAsia="楷体" w:cs="楷体"/>
          <w:sz w:val="21"/>
        </w:rPr>
        <w:t>萨摩亚是南太平洋岛国中第一个与中国签署</w:t>
      </w:r>
      <w:r>
        <w:rPr>
          <w:sz w:val="21"/>
        </w:rPr>
        <w:t>“</w:t>
      </w:r>
      <w:r>
        <w:rPr>
          <w:rFonts w:ascii="楷体" w:hAnsi="楷体" w:eastAsia="楷体" w:cs="楷体"/>
          <w:sz w:val="21"/>
        </w:rPr>
        <w:t>一带一路</w:t>
      </w:r>
      <w:r>
        <w:rPr>
          <w:sz w:val="21"/>
        </w:rPr>
        <w:t>”</w:t>
      </w:r>
      <w:r>
        <w:rPr>
          <w:rFonts w:ascii="楷体" w:hAnsi="楷体" w:eastAsia="楷体" w:cs="楷体"/>
          <w:sz w:val="21"/>
        </w:rPr>
        <w:t>倡议的国家。该国自然风光旖旎，主要依赖农产品出口，经济相对落后。中国在基础设施建设、农业开发等领域与萨摩亚合作广泛。如图为萨摩亚位置示意图。据此完成下面小题。</w:t>
      </w:r>
    </w:p>
    <w:p w14:paraId="6CD6454B">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67175" cy="1571625"/>
            <wp:effectExtent l="0" t="0" r="9525" b="9525"/>
            <wp:docPr id="100005" name="图片 100005" descr="@@@fe45222d-24a2-43fe-b08d-da4a516ad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e45222d-24a2-43fe-b08d-da4a516ad048"/>
                    <pic:cNvPicPr>
                      <a:picLocks noChangeAspect="1"/>
                    </pic:cNvPicPr>
                  </pic:nvPicPr>
                  <pic:blipFill>
                    <a:blip r:embed="rId10"/>
                    <a:stretch>
                      <a:fillRect/>
                    </a:stretch>
                  </pic:blipFill>
                  <pic:spPr>
                    <a:xfrm>
                      <a:off x="0" y="0"/>
                      <a:ext cx="4067175" cy="1571625"/>
                    </a:xfrm>
                    <a:prstGeom prst="rect">
                      <a:avLst/>
                    </a:prstGeom>
                  </pic:spPr>
                </pic:pic>
              </a:graphicData>
            </a:graphic>
          </wp:inline>
        </w:drawing>
      </w:r>
    </w:p>
    <w:p w14:paraId="2A3B2F68">
      <w:pPr>
        <w:shd w:val="clear" w:color="auto" w:fill="auto"/>
        <w:spacing w:line="360" w:lineRule="auto"/>
        <w:jc w:val="left"/>
        <w:textAlignment w:val="center"/>
        <w:rPr>
          <w:sz w:val="21"/>
        </w:rPr>
      </w:pPr>
      <w:r>
        <w:rPr>
          <w:sz w:val="21"/>
        </w:rPr>
        <w:t>4．萨摩亚位于（</w:t>
      </w:r>
      <w:r>
        <w:rPr>
          <w:rFonts w:ascii="Times New Roman" w:hAnsi="Times New Roman" w:eastAsia="Times New Roman" w:cs="Times New Roman"/>
          <w:kern w:val="0"/>
          <w:sz w:val="24"/>
          <w:szCs w:val="24"/>
        </w:rPr>
        <w:t>   </w:t>
      </w:r>
      <w:r>
        <w:rPr>
          <w:sz w:val="21"/>
        </w:rPr>
        <w:t>）</w:t>
      </w:r>
    </w:p>
    <w:p w14:paraId="0AB7255B">
      <w:pPr>
        <w:shd w:val="clear" w:color="auto" w:fill="auto"/>
        <w:tabs>
          <w:tab w:val="left" w:pos="4156"/>
        </w:tabs>
        <w:spacing w:line="360" w:lineRule="auto"/>
        <w:ind w:left="300"/>
        <w:jc w:val="left"/>
        <w:textAlignment w:val="center"/>
        <w:rPr>
          <w:sz w:val="21"/>
        </w:rPr>
      </w:pPr>
      <w:r>
        <w:rPr>
          <w:sz w:val="21"/>
        </w:rPr>
        <w:t>A．北半球东半球</w:t>
      </w:r>
      <w:r>
        <w:rPr>
          <w:sz w:val="21"/>
        </w:rPr>
        <w:tab/>
      </w:r>
      <w:r>
        <w:rPr>
          <w:sz w:val="21"/>
        </w:rPr>
        <w:t>B．北半球西半球</w:t>
      </w:r>
    </w:p>
    <w:p w14:paraId="5A2F1CF4">
      <w:pPr>
        <w:shd w:val="clear" w:color="auto" w:fill="auto"/>
        <w:tabs>
          <w:tab w:val="left" w:pos="4156"/>
        </w:tabs>
        <w:spacing w:line="360" w:lineRule="auto"/>
        <w:ind w:left="300"/>
        <w:jc w:val="left"/>
        <w:textAlignment w:val="center"/>
        <w:rPr>
          <w:sz w:val="21"/>
        </w:rPr>
      </w:pPr>
      <w:r>
        <w:rPr>
          <w:sz w:val="21"/>
        </w:rPr>
        <w:t>C．南半球东半球</w:t>
      </w:r>
      <w:r>
        <w:rPr>
          <w:sz w:val="21"/>
        </w:rPr>
        <w:tab/>
      </w:r>
      <w:r>
        <w:rPr>
          <w:sz w:val="21"/>
        </w:rPr>
        <w:t>D．南半球西半球</w:t>
      </w:r>
    </w:p>
    <w:p w14:paraId="5CE297E2">
      <w:pPr>
        <w:shd w:val="clear" w:color="auto" w:fill="auto"/>
        <w:spacing w:line="360" w:lineRule="auto"/>
        <w:jc w:val="left"/>
        <w:textAlignment w:val="center"/>
        <w:rPr>
          <w:sz w:val="21"/>
        </w:rPr>
      </w:pPr>
      <w:r>
        <w:rPr>
          <w:sz w:val="21"/>
        </w:rPr>
        <w:t>5．萨摩亚出口到中国的农产品可能有（</w:t>
      </w:r>
      <w:r>
        <w:rPr>
          <w:rFonts w:ascii="Times New Roman" w:hAnsi="Times New Roman" w:eastAsia="Times New Roman" w:cs="Times New Roman"/>
          <w:kern w:val="0"/>
          <w:sz w:val="24"/>
          <w:szCs w:val="24"/>
        </w:rPr>
        <w:t>   </w:t>
      </w:r>
      <w:r>
        <w:rPr>
          <w:sz w:val="21"/>
        </w:rPr>
        <w:t>）</w:t>
      </w:r>
    </w:p>
    <w:p w14:paraId="1CA4D3A6">
      <w:pPr>
        <w:shd w:val="clear" w:color="auto" w:fill="auto"/>
        <w:tabs>
          <w:tab w:val="left" w:pos="2078"/>
          <w:tab w:val="left" w:pos="4156"/>
          <w:tab w:val="left" w:pos="6234"/>
        </w:tabs>
        <w:spacing w:line="360" w:lineRule="auto"/>
        <w:ind w:left="300"/>
        <w:jc w:val="left"/>
        <w:textAlignment w:val="center"/>
        <w:rPr>
          <w:sz w:val="21"/>
        </w:rPr>
      </w:pPr>
      <w:r>
        <w:rPr>
          <w:sz w:val="21"/>
        </w:rPr>
        <w:t>A．可可、咖啡</w:t>
      </w:r>
      <w:r>
        <w:rPr>
          <w:sz w:val="21"/>
        </w:rPr>
        <w:tab/>
      </w:r>
      <w:r>
        <w:rPr>
          <w:sz w:val="21"/>
        </w:rPr>
        <w:t>B．苹果、桃子</w:t>
      </w:r>
      <w:r>
        <w:rPr>
          <w:sz w:val="21"/>
        </w:rPr>
        <w:tab/>
      </w:r>
      <w:r>
        <w:rPr>
          <w:sz w:val="21"/>
        </w:rPr>
        <w:t>C．葡萄、油橄榄</w:t>
      </w:r>
      <w:r>
        <w:rPr>
          <w:sz w:val="21"/>
        </w:rPr>
        <w:tab/>
      </w:r>
      <w:r>
        <w:rPr>
          <w:sz w:val="21"/>
        </w:rPr>
        <w:t>D．椰枣、西瓜</w:t>
      </w:r>
    </w:p>
    <w:p w14:paraId="5DBCE5FF">
      <w:pPr>
        <w:shd w:val="clear" w:color="auto" w:fill="auto"/>
        <w:spacing w:line="360" w:lineRule="auto"/>
        <w:jc w:val="left"/>
        <w:textAlignment w:val="center"/>
        <w:rPr>
          <w:sz w:val="21"/>
        </w:rPr>
      </w:pPr>
      <w:r>
        <w:rPr>
          <w:sz w:val="21"/>
        </w:rPr>
        <w:t>6．中萨两国签署“一带一路”合作倡议的影响不包括（</w:t>
      </w:r>
      <w:r>
        <w:rPr>
          <w:rFonts w:ascii="Times New Roman" w:hAnsi="Times New Roman" w:eastAsia="Times New Roman" w:cs="Times New Roman"/>
          <w:kern w:val="0"/>
          <w:sz w:val="24"/>
          <w:szCs w:val="24"/>
        </w:rPr>
        <w:t>   </w:t>
      </w:r>
      <w:r>
        <w:rPr>
          <w:sz w:val="21"/>
        </w:rPr>
        <w:t>）</w:t>
      </w:r>
    </w:p>
    <w:p w14:paraId="426A72C5">
      <w:pPr>
        <w:shd w:val="clear" w:color="auto" w:fill="auto"/>
        <w:tabs>
          <w:tab w:val="left" w:pos="4156"/>
        </w:tabs>
        <w:spacing w:line="360" w:lineRule="auto"/>
        <w:ind w:left="300"/>
        <w:jc w:val="left"/>
        <w:textAlignment w:val="center"/>
        <w:rPr>
          <w:sz w:val="21"/>
        </w:rPr>
      </w:pPr>
      <w:r>
        <w:rPr>
          <w:sz w:val="21"/>
        </w:rPr>
        <w:t>A．吸引更多游客到萨摩亚旅游</w:t>
      </w:r>
      <w:r>
        <w:rPr>
          <w:sz w:val="21"/>
        </w:rPr>
        <w:tab/>
      </w:r>
      <w:r>
        <w:rPr>
          <w:sz w:val="21"/>
        </w:rPr>
        <w:t>B．萨摩亚获得更多技术支持</w:t>
      </w:r>
    </w:p>
    <w:p w14:paraId="127CBD24">
      <w:pPr>
        <w:shd w:val="clear" w:color="auto" w:fill="auto"/>
        <w:tabs>
          <w:tab w:val="left" w:pos="4156"/>
        </w:tabs>
        <w:spacing w:line="360" w:lineRule="auto"/>
        <w:ind w:left="300"/>
        <w:jc w:val="left"/>
        <w:textAlignment w:val="center"/>
        <w:rPr>
          <w:sz w:val="21"/>
        </w:rPr>
      </w:pPr>
      <w:r>
        <w:rPr>
          <w:sz w:val="21"/>
        </w:rPr>
        <w:t>C．缩短了中萨两国的空间距离</w:t>
      </w:r>
      <w:r>
        <w:rPr>
          <w:sz w:val="21"/>
        </w:rPr>
        <w:tab/>
      </w:r>
      <w:r>
        <w:rPr>
          <w:sz w:val="21"/>
        </w:rPr>
        <w:t>D．促进了中萨两国文化交流</w:t>
      </w:r>
    </w:p>
    <w:p w14:paraId="7CBB312C">
      <w:pPr>
        <w:shd w:val="clear" w:color="auto" w:fill="auto"/>
        <w:tabs>
          <w:tab w:val="left" w:pos="4156"/>
        </w:tabs>
        <w:spacing w:line="360" w:lineRule="auto"/>
        <w:ind w:left="300"/>
        <w:jc w:val="left"/>
        <w:textAlignment w:val="center"/>
        <w:rPr>
          <w:sz w:val="21"/>
        </w:rPr>
      </w:pPr>
    </w:p>
    <w:p w14:paraId="2F1A2C68">
      <w:pPr>
        <w:shd w:val="clear" w:color="auto" w:fill="auto"/>
        <w:spacing w:line="360" w:lineRule="auto"/>
        <w:ind w:firstLine="560"/>
        <w:jc w:val="left"/>
        <w:textAlignment w:val="center"/>
        <w:rPr>
          <w:sz w:val="21"/>
        </w:rPr>
      </w:pPr>
      <w:r>
        <w:rPr>
          <w:sz w:val="21"/>
        </w:rPr>
        <w:t>1936</w:t>
      </w:r>
      <w:r>
        <w:rPr>
          <w:rFonts w:ascii="楷体" w:hAnsi="楷体" w:eastAsia="楷体" w:cs="楷体"/>
          <w:sz w:val="21"/>
        </w:rPr>
        <w:t>年</w:t>
      </w:r>
      <w:r>
        <w:rPr>
          <w:sz w:val="21"/>
        </w:rPr>
        <w:t>2</w:t>
      </w:r>
      <w:r>
        <w:rPr>
          <w:rFonts w:ascii="楷体" w:hAnsi="楷体" w:eastAsia="楷体" w:cs="楷体"/>
          <w:sz w:val="21"/>
        </w:rPr>
        <w:t>月，毛主席率领红一方面军从陕北出发，准备东渡黄河进入山西省西部，遇大雪，作词《沁园春雪》：“北国风光，千里冰封，万里雪飘……山舞银蛇，原驰蜡象……”。据此完成下面小题。</w:t>
      </w:r>
    </w:p>
    <w:p w14:paraId="02DD47DF">
      <w:pPr>
        <w:shd w:val="clear" w:color="auto" w:fill="auto"/>
        <w:spacing w:line="360" w:lineRule="auto"/>
        <w:jc w:val="left"/>
        <w:textAlignment w:val="center"/>
        <w:rPr>
          <w:sz w:val="21"/>
        </w:rPr>
      </w:pPr>
      <w:r>
        <w:rPr>
          <w:sz w:val="21"/>
        </w:rPr>
        <w:t>7．词中“北国风光”所描绘地区的气温曲线和降水量柱状图最可能是（</w:t>
      </w:r>
      <w:r>
        <w:rPr>
          <w:rFonts w:ascii="Times New Roman" w:hAnsi="Times New Roman" w:eastAsia="Times New Roman" w:cs="Times New Roman"/>
          <w:kern w:val="0"/>
          <w:sz w:val="24"/>
          <w:szCs w:val="24"/>
        </w:rPr>
        <w:t>   </w:t>
      </w:r>
      <w:r>
        <w:rPr>
          <w:sz w:val="21"/>
        </w:rPr>
        <w:t>）</w:t>
      </w:r>
    </w:p>
    <w:p w14:paraId="01F3C73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867275" cy="1543050"/>
            <wp:effectExtent l="0" t="0" r="9525" b="0"/>
            <wp:docPr id="100007" name="图片 100007" descr="@@@edfcee5f-f172-4b00-a3c6-4a255cac70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dfcee5f-f172-4b00-a3c6-4a255cac70fe"/>
                    <pic:cNvPicPr>
                      <a:picLocks noChangeAspect="1"/>
                    </pic:cNvPicPr>
                  </pic:nvPicPr>
                  <pic:blipFill>
                    <a:blip r:embed="rId11"/>
                    <a:stretch>
                      <a:fillRect/>
                    </a:stretch>
                  </pic:blipFill>
                  <pic:spPr>
                    <a:xfrm>
                      <a:off x="0" y="0"/>
                      <a:ext cx="4867275" cy="1543050"/>
                    </a:xfrm>
                    <a:prstGeom prst="rect">
                      <a:avLst/>
                    </a:prstGeom>
                  </pic:spPr>
                </pic:pic>
              </a:graphicData>
            </a:graphic>
          </wp:inline>
        </w:drawing>
      </w:r>
    </w:p>
    <w:p w14:paraId="4300B9BA">
      <w:pPr>
        <w:shd w:val="clear" w:color="auto" w:fill="auto"/>
        <w:tabs>
          <w:tab w:val="left" w:pos="2078"/>
          <w:tab w:val="left" w:pos="4156"/>
          <w:tab w:val="left" w:pos="6234"/>
        </w:tabs>
        <w:spacing w:line="360" w:lineRule="auto"/>
        <w:ind w:left="30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44BCB5DC">
      <w:pPr>
        <w:shd w:val="clear" w:color="auto" w:fill="auto"/>
        <w:spacing w:line="360" w:lineRule="auto"/>
        <w:jc w:val="left"/>
        <w:textAlignment w:val="center"/>
        <w:rPr>
          <w:sz w:val="21"/>
        </w:rPr>
      </w:pPr>
      <w:r>
        <w:rPr>
          <w:sz w:val="21"/>
        </w:rPr>
        <w:t>8．词中“原驰蜡象”中的“原”指陕西、山西一带的高原，是我国的（</w:t>
      </w:r>
      <w:r>
        <w:rPr>
          <w:rFonts w:ascii="Times New Roman" w:hAnsi="Times New Roman" w:eastAsia="Times New Roman" w:cs="Times New Roman"/>
          <w:kern w:val="0"/>
          <w:sz w:val="24"/>
          <w:szCs w:val="24"/>
        </w:rPr>
        <w:t>   </w:t>
      </w:r>
      <w:r>
        <w:rPr>
          <w:sz w:val="21"/>
        </w:rPr>
        <w:t>）</w:t>
      </w:r>
    </w:p>
    <w:p w14:paraId="355FE6D7">
      <w:pPr>
        <w:shd w:val="clear" w:color="auto" w:fill="auto"/>
        <w:tabs>
          <w:tab w:val="left" w:pos="2078"/>
          <w:tab w:val="left" w:pos="4156"/>
          <w:tab w:val="left" w:pos="6234"/>
        </w:tabs>
        <w:spacing w:line="360" w:lineRule="auto"/>
        <w:ind w:left="300"/>
        <w:jc w:val="left"/>
        <w:textAlignment w:val="center"/>
        <w:rPr>
          <w:sz w:val="21"/>
        </w:rPr>
      </w:pPr>
      <w:r>
        <w:rPr>
          <w:sz w:val="21"/>
        </w:rPr>
        <w:t>A．黄土高原</w:t>
      </w:r>
      <w:r>
        <w:rPr>
          <w:sz w:val="21"/>
        </w:rPr>
        <w:tab/>
      </w:r>
      <w:r>
        <w:rPr>
          <w:sz w:val="21"/>
        </w:rPr>
        <w:t>B．内蒙古高原</w:t>
      </w:r>
      <w:r>
        <w:rPr>
          <w:sz w:val="21"/>
        </w:rPr>
        <w:tab/>
      </w:r>
      <w:r>
        <w:rPr>
          <w:sz w:val="21"/>
        </w:rPr>
        <w:t>C．云贵高原</w:t>
      </w:r>
      <w:r>
        <w:rPr>
          <w:sz w:val="21"/>
        </w:rPr>
        <w:tab/>
      </w:r>
      <w:r>
        <w:rPr>
          <w:sz w:val="21"/>
        </w:rPr>
        <w:t>D．青藏高原</w:t>
      </w:r>
    </w:p>
    <w:p w14:paraId="25E5A59C">
      <w:pPr>
        <w:shd w:val="clear" w:color="auto" w:fill="auto"/>
        <w:spacing w:line="360" w:lineRule="auto"/>
        <w:jc w:val="left"/>
        <w:textAlignment w:val="center"/>
        <w:rPr>
          <w:sz w:val="21"/>
        </w:rPr>
      </w:pPr>
      <w:r>
        <w:rPr>
          <w:sz w:val="21"/>
        </w:rPr>
        <w:t>9．如图为黄河渡口附近局部等高线地形图，毛主席曾在图中M处居住，M所在的山体部位是（</w:t>
      </w:r>
      <w:r>
        <w:rPr>
          <w:rFonts w:ascii="Times New Roman" w:hAnsi="Times New Roman" w:eastAsia="Times New Roman" w:cs="Times New Roman"/>
          <w:kern w:val="0"/>
          <w:sz w:val="24"/>
          <w:szCs w:val="24"/>
        </w:rPr>
        <w:t>   </w:t>
      </w:r>
      <w:r>
        <w:rPr>
          <w:sz w:val="21"/>
        </w:rPr>
        <w:t>）</w:t>
      </w:r>
    </w:p>
    <w:p w14:paraId="7665B4C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57400" cy="2476500"/>
            <wp:effectExtent l="0" t="0" r="0" b="0"/>
            <wp:docPr id="100009" name="图片 100009" descr="@@@8849474f-7e04-498b-9206-c6b0781b87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849474f-7e04-498b-9206-c6b0781b87ba"/>
                    <pic:cNvPicPr>
                      <a:picLocks noChangeAspect="1"/>
                    </pic:cNvPicPr>
                  </pic:nvPicPr>
                  <pic:blipFill>
                    <a:blip r:embed="rId12"/>
                    <a:stretch>
                      <a:fillRect/>
                    </a:stretch>
                  </pic:blipFill>
                  <pic:spPr>
                    <a:xfrm>
                      <a:off x="0" y="0"/>
                      <a:ext cx="2057400" cy="2476500"/>
                    </a:xfrm>
                    <a:prstGeom prst="rect">
                      <a:avLst/>
                    </a:prstGeom>
                  </pic:spPr>
                </pic:pic>
              </a:graphicData>
            </a:graphic>
          </wp:inline>
        </w:drawing>
      </w:r>
    </w:p>
    <w:p w14:paraId="175CDEBA">
      <w:pPr>
        <w:shd w:val="clear" w:color="auto" w:fill="auto"/>
        <w:tabs>
          <w:tab w:val="left" w:pos="2078"/>
          <w:tab w:val="left" w:pos="4156"/>
          <w:tab w:val="left" w:pos="6234"/>
        </w:tabs>
        <w:spacing w:line="360" w:lineRule="auto"/>
        <w:ind w:left="300"/>
        <w:jc w:val="left"/>
        <w:textAlignment w:val="center"/>
        <w:rPr>
          <w:sz w:val="21"/>
        </w:rPr>
      </w:pPr>
      <w:r>
        <w:rPr>
          <w:sz w:val="21"/>
        </w:rPr>
        <w:t>A．山顶</w:t>
      </w:r>
      <w:r>
        <w:rPr>
          <w:sz w:val="21"/>
        </w:rPr>
        <w:tab/>
      </w:r>
      <w:r>
        <w:rPr>
          <w:sz w:val="21"/>
        </w:rPr>
        <w:t>B．山脊</w:t>
      </w:r>
      <w:r>
        <w:rPr>
          <w:sz w:val="21"/>
        </w:rPr>
        <w:tab/>
      </w:r>
      <w:r>
        <w:rPr>
          <w:sz w:val="21"/>
        </w:rPr>
        <w:t>C．鞍部</w:t>
      </w:r>
      <w:r>
        <w:rPr>
          <w:sz w:val="21"/>
        </w:rPr>
        <w:tab/>
      </w:r>
      <w:r>
        <w:rPr>
          <w:sz w:val="21"/>
        </w:rPr>
        <w:t>D．山谷</w:t>
      </w:r>
    </w:p>
    <w:p w14:paraId="2B4B1BC5">
      <w:pPr>
        <w:shd w:val="clear" w:color="auto" w:fill="auto"/>
        <w:tabs>
          <w:tab w:val="left" w:pos="2078"/>
          <w:tab w:val="left" w:pos="4156"/>
          <w:tab w:val="left" w:pos="6234"/>
        </w:tabs>
        <w:spacing w:line="360" w:lineRule="auto"/>
        <w:ind w:left="300"/>
        <w:jc w:val="left"/>
        <w:textAlignment w:val="center"/>
        <w:rPr>
          <w:sz w:val="21"/>
        </w:rPr>
      </w:pPr>
    </w:p>
    <w:p w14:paraId="66D5830C">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年春季，我国文化和旅游部在全国范围内推出了“黔中花事”“赣东春韵”等</w:t>
      </w:r>
      <w:r>
        <w:rPr>
          <w:sz w:val="21"/>
        </w:rPr>
        <w:t>32</w:t>
      </w:r>
      <w:r>
        <w:rPr>
          <w:rFonts w:ascii="楷体" w:hAnsi="楷体" w:eastAsia="楷体" w:cs="楷体"/>
          <w:sz w:val="21"/>
        </w:rPr>
        <w:t>条“花期乡遇”主题乡村旅游精品线路。据此完成下面小题。</w:t>
      </w:r>
    </w:p>
    <w:p w14:paraId="3DE4ACEF">
      <w:pPr>
        <w:shd w:val="clear" w:color="auto" w:fill="auto"/>
        <w:spacing w:line="360" w:lineRule="auto"/>
        <w:jc w:val="left"/>
        <w:textAlignment w:val="center"/>
        <w:rPr>
          <w:sz w:val="21"/>
        </w:rPr>
      </w:pPr>
      <w:r>
        <w:rPr>
          <w:sz w:val="21"/>
        </w:rPr>
        <w:t>10．“黔中花事”“赣东春韵”两条乡村旅游线路分别位于（</w:t>
      </w:r>
      <w:r>
        <w:rPr>
          <w:rFonts w:ascii="Times New Roman" w:hAnsi="Times New Roman" w:eastAsia="Times New Roman" w:cs="Times New Roman"/>
          <w:kern w:val="0"/>
          <w:sz w:val="24"/>
          <w:szCs w:val="24"/>
        </w:rPr>
        <w:t>   </w:t>
      </w:r>
      <w:r>
        <w:rPr>
          <w:sz w:val="21"/>
        </w:rPr>
        <w:t>）</w:t>
      </w:r>
    </w:p>
    <w:p w14:paraId="7EFC62A6">
      <w:pPr>
        <w:shd w:val="clear" w:color="auto" w:fill="auto"/>
        <w:tabs>
          <w:tab w:val="left" w:pos="2078"/>
          <w:tab w:val="left" w:pos="4156"/>
          <w:tab w:val="left" w:pos="6234"/>
        </w:tabs>
        <w:spacing w:line="360" w:lineRule="auto"/>
        <w:ind w:left="380"/>
        <w:jc w:val="left"/>
        <w:textAlignment w:val="center"/>
        <w:rPr>
          <w:sz w:val="21"/>
        </w:rPr>
      </w:pPr>
      <w:r>
        <w:rPr>
          <w:sz w:val="21"/>
        </w:rPr>
        <w:t>A．湖北；湖南</w:t>
      </w:r>
      <w:r>
        <w:rPr>
          <w:sz w:val="21"/>
        </w:rPr>
        <w:tab/>
      </w:r>
      <w:r>
        <w:rPr>
          <w:sz w:val="21"/>
        </w:rPr>
        <w:t>B．贵州；江西</w:t>
      </w:r>
      <w:r>
        <w:rPr>
          <w:sz w:val="21"/>
        </w:rPr>
        <w:tab/>
      </w:r>
      <w:r>
        <w:rPr>
          <w:sz w:val="21"/>
        </w:rPr>
        <w:t>C．甘肃；青海</w:t>
      </w:r>
      <w:r>
        <w:rPr>
          <w:sz w:val="21"/>
        </w:rPr>
        <w:tab/>
      </w:r>
      <w:r>
        <w:rPr>
          <w:sz w:val="21"/>
        </w:rPr>
        <w:t>D．云南；广西</w:t>
      </w:r>
    </w:p>
    <w:p w14:paraId="729F9F5D">
      <w:pPr>
        <w:shd w:val="clear" w:color="auto" w:fill="auto"/>
        <w:spacing w:line="360" w:lineRule="auto"/>
        <w:jc w:val="left"/>
        <w:textAlignment w:val="center"/>
        <w:rPr>
          <w:sz w:val="21"/>
        </w:rPr>
      </w:pPr>
      <w:r>
        <w:rPr>
          <w:sz w:val="21"/>
        </w:rPr>
        <w:t>11．游客在“花期乡遇”主题乡村旅游中体验不到的是（</w:t>
      </w:r>
      <w:r>
        <w:rPr>
          <w:rFonts w:ascii="Times New Roman" w:hAnsi="Times New Roman" w:eastAsia="Times New Roman" w:cs="Times New Roman"/>
          <w:kern w:val="0"/>
          <w:sz w:val="24"/>
          <w:szCs w:val="24"/>
        </w:rPr>
        <w:t>   </w:t>
      </w:r>
      <w:r>
        <w:rPr>
          <w:sz w:val="21"/>
        </w:rPr>
        <w:t>）</w:t>
      </w:r>
    </w:p>
    <w:p w14:paraId="3CF27CC6">
      <w:pPr>
        <w:shd w:val="clear" w:color="auto" w:fill="auto"/>
        <w:tabs>
          <w:tab w:val="left" w:pos="4156"/>
        </w:tabs>
        <w:spacing w:line="360" w:lineRule="auto"/>
        <w:ind w:left="380"/>
        <w:jc w:val="left"/>
        <w:textAlignment w:val="center"/>
        <w:rPr>
          <w:sz w:val="21"/>
        </w:rPr>
      </w:pPr>
      <w:r>
        <w:rPr>
          <w:sz w:val="21"/>
        </w:rPr>
        <w:t>A．花田漫步，舌尖美食</w:t>
      </w:r>
      <w:r>
        <w:rPr>
          <w:sz w:val="21"/>
        </w:rPr>
        <w:tab/>
      </w:r>
      <w:r>
        <w:rPr>
          <w:sz w:val="21"/>
        </w:rPr>
        <w:t>B．花间栖居，特色民宿</w:t>
      </w:r>
    </w:p>
    <w:p w14:paraId="2C32784C">
      <w:pPr>
        <w:shd w:val="clear" w:color="auto" w:fill="auto"/>
        <w:tabs>
          <w:tab w:val="left" w:pos="4156"/>
        </w:tabs>
        <w:spacing w:line="360" w:lineRule="auto"/>
        <w:ind w:left="380"/>
        <w:jc w:val="left"/>
        <w:textAlignment w:val="center"/>
        <w:rPr>
          <w:sz w:val="21"/>
        </w:rPr>
      </w:pPr>
      <w:r>
        <w:rPr>
          <w:sz w:val="21"/>
        </w:rPr>
        <w:t>C．摩天大楼，俯瞰花海</w:t>
      </w:r>
      <w:r>
        <w:rPr>
          <w:sz w:val="21"/>
        </w:rPr>
        <w:tab/>
      </w:r>
      <w:r>
        <w:rPr>
          <w:sz w:val="21"/>
        </w:rPr>
        <w:t>D．多彩文创，妙手生花</w:t>
      </w:r>
    </w:p>
    <w:p w14:paraId="7DAF3B6A">
      <w:pPr>
        <w:shd w:val="clear" w:color="auto" w:fill="auto"/>
        <w:spacing w:line="360" w:lineRule="auto"/>
        <w:jc w:val="left"/>
        <w:textAlignment w:val="center"/>
        <w:rPr>
          <w:sz w:val="21"/>
        </w:rPr>
      </w:pPr>
      <w:r>
        <w:rPr>
          <w:sz w:val="21"/>
        </w:rPr>
        <w:t>12．“花期乡遇”主题乡村旅游的意义有（</w:t>
      </w:r>
      <w:r>
        <w:rPr>
          <w:rFonts w:ascii="Times New Roman" w:hAnsi="Times New Roman" w:eastAsia="Times New Roman" w:cs="Times New Roman"/>
          <w:kern w:val="0"/>
          <w:sz w:val="24"/>
          <w:szCs w:val="24"/>
        </w:rPr>
        <w:t>   </w:t>
      </w:r>
      <w:r>
        <w:rPr>
          <w:sz w:val="21"/>
        </w:rPr>
        <w:t>）</w:t>
      </w:r>
    </w:p>
    <w:p w14:paraId="40D978E8">
      <w:pPr>
        <w:shd w:val="clear" w:color="auto" w:fill="auto"/>
        <w:spacing w:line="360" w:lineRule="auto"/>
        <w:jc w:val="left"/>
        <w:textAlignment w:val="center"/>
        <w:rPr>
          <w:sz w:val="21"/>
        </w:rPr>
      </w:pPr>
      <w:r>
        <w:rPr>
          <w:sz w:val="21"/>
        </w:rPr>
        <w:t>①带动餐饮、住宿等发展，提高农民收入②促进城市居民向乡村大规模的迁移定居</w:t>
      </w:r>
    </w:p>
    <w:p w14:paraId="1A361351">
      <w:pPr>
        <w:shd w:val="clear" w:color="auto" w:fill="auto"/>
        <w:spacing w:line="360" w:lineRule="auto"/>
        <w:jc w:val="left"/>
        <w:textAlignment w:val="center"/>
        <w:rPr>
          <w:sz w:val="21"/>
        </w:rPr>
      </w:pPr>
      <w:r>
        <w:rPr>
          <w:sz w:val="21"/>
        </w:rPr>
        <w:t>③加速乡村基础设施建设，改善乡村环境④促进传统民俗、手工艺和非遗项目传承</w:t>
      </w:r>
    </w:p>
    <w:p w14:paraId="59C3C321">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B．①③④</w:t>
      </w:r>
      <w:r>
        <w:rPr>
          <w:sz w:val="21"/>
        </w:rPr>
        <w:tab/>
      </w:r>
      <w:r>
        <w:rPr>
          <w:sz w:val="21"/>
        </w:rPr>
        <w:t>C．②③④</w:t>
      </w:r>
      <w:r>
        <w:rPr>
          <w:sz w:val="21"/>
        </w:rPr>
        <w:tab/>
      </w:r>
      <w:r>
        <w:rPr>
          <w:sz w:val="21"/>
        </w:rPr>
        <w:t>D．①②④</w:t>
      </w:r>
    </w:p>
    <w:p w14:paraId="2A4FF1A8">
      <w:pPr>
        <w:shd w:val="clear" w:color="auto" w:fill="auto"/>
        <w:tabs>
          <w:tab w:val="left" w:pos="2078"/>
          <w:tab w:val="left" w:pos="4156"/>
          <w:tab w:val="left" w:pos="6234"/>
        </w:tabs>
        <w:spacing w:line="360" w:lineRule="auto"/>
        <w:ind w:left="380"/>
        <w:jc w:val="left"/>
        <w:textAlignment w:val="center"/>
        <w:rPr>
          <w:sz w:val="21"/>
        </w:rPr>
      </w:pPr>
    </w:p>
    <w:p w14:paraId="53F51BE4">
      <w:pPr>
        <w:shd w:val="clear" w:color="auto" w:fill="auto"/>
        <w:spacing w:line="360" w:lineRule="auto"/>
        <w:ind w:firstLine="560"/>
        <w:jc w:val="left"/>
        <w:textAlignment w:val="center"/>
        <w:rPr>
          <w:sz w:val="21"/>
        </w:rPr>
      </w:pPr>
      <w:r>
        <w:rPr>
          <w:rFonts w:ascii="楷体" w:hAnsi="楷体" w:eastAsia="楷体" w:cs="楷体"/>
          <w:sz w:val="21"/>
        </w:rPr>
        <w:t>新质生产力是指运用人工智能、互联网等新技术改造提升传统产业而催生的新产业、新技术、新产品和新业态，它促进传统产业向高端化、智能化、绿色化转化。如图为</w:t>
      </w:r>
      <w:r>
        <w:rPr>
          <w:sz w:val="21"/>
        </w:rPr>
        <w:t>2024</w:t>
      </w:r>
      <w:r>
        <w:rPr>
          <w:rFonts w:ascii="楷体" w:hAnsi="楷体" w:eastAsia="楷体" w:cs="楷体"/>
          <w:sz w:val="21"/>
        </w:rPr>
        <w:t>年我国新质生产力产业上市企业区域分布图（数据不含港澳台）。据此完成下面小题。</w:t>
      </w:r>
    </w:p>
    <w:p w14:paraId="0BF1EA21">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47975" cy="2305050"/>
            <wp:effectExtent l="0" t="0" r="9525" b="0"/>
            <wp:docPr id="100011" name="图片 100011" descr="@@@8f80f344-5305-4840-b2f0-8a2148b992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f80f344-5305-4840-b2f0-8a2148b992d0"/>
                    <pic:cNvPicPr>
                      <a:picLocks noChangeAspect="1"/>
                    </pic:cNvPicPr>
                  </pic:nvPicPr>
                  <pic:blipFill>
                    <a:blip r:embed="rId13"/>
                    <a:stretch>
                      <a:fillRect/>
                    </a:stretch>
                  </pic:blipFill>
                  <pic:spPr>
                    <a:xfrm>
                      <a:off x="0" y="0"/>
                      <a:ext cx="2847975" cy="2305050"/>
                    </a:xfrm>
                    <a:prstGeom prst="rect">
                      <a:avLst/>
                    </a:prstGeom>
                  </pic:spPr>
                </pic:pic>
              </a:graphicData>
            </a:graphic>
          </wp:inline>
        </w:drawing>
      </w:r>
    </w:p>
    <w:p w14:paraId="33616959">
      <w:pPr>
        <w:shd w:val="clear" w:color="auto" w:fill="auto"/>
        <w:spacing w:line="360" w:lineRule="auto"/>
        <w:jc w:val="left"/>
        <w:textAlignment w:val="center"/>
        <w:rPr>
          <w:sz w:val="21"/>
        </w:rPr>
      </w:pPr>
      <w:r>
        <w:rPr>
          <w:sz w:val="21"/>
        </w:rPr>
        <w:t>13．新质生产力产业上市企业主要分布在（</w:t>
      </w:r>
      <w:r>
        <w:rPr>
          <w:rFonts w:ascii="Times New Roman" w:hAnsi="Times New Roman" w:eastAsia="Times New Roman" w:cs="Times New Roman"/>
          <w:kern w:val="0"/>
          <w:sz w:val="24"/>
          <w:szCs w:val="24"/>
        </w:rPr>
        <w:t>   </w:t>
      </w:r>
      <w:r>
        <w:rPr>
          <w:sz w:val="21"/>
        </w:rPr>
        <w:t>）</w:t>
      </w:r>
    </w:p>
    <w:p w14:paraId="1F3D1AF4">
      <w:pPr>
        <w:shd w:val="clear" w:color="auto" w:fill="auto"/>
        <w:tabs>
          <w:tab w:val="left" w:pos="2078"/>
          <w:tab w:val="left" w:pos="4156"/>
          <w:tab w:val="left" w:pos="6234"/>
        </w:tabs>
        <w:spacing w:line="360" w:lineRule="auto"/>
        <w:ind w:left="380"/>
        <w:jc w:val="left"/>
        <w:textAlignment w:val="center"/>
        <w:rPr>
          <w:sz w:val="21"/>
        </w:rPr>
      </w:pPr>
      <w:r>
        <w:rPr>
          <w:sz w:val="21"/>
        </w:rPr>
        <w:t>A．环渤海地区</w:t>
      </w:r>
      <w:r>
        <w:rPr>
          <w:sz w:val="21"/>
        </w:rPr>
        <w:tab/>
      </w:r>
      <w:r>
        <w:rPr>
          <w:sz w:val="21"/>
        </w:rPr>
        <w:t>B．东北地区</w:t>
      </w:r>
      <w:r>
        <w:rPr>
          <w:sz w:val="21"/>
        </w:rPr>
        <w:tab/>
      </w:r>
      <w:r>
        <w:rPr>
          <w:sz w:val="21"/>
        </w:rPr>
        <w:t>C．中东部地区</w:t>
      </w:r>
      <w:r>
        <w:rPr>
          <w:sz w:val="21"/>
        </w:rPr>
        <w:tab/>
      </w:r>
      <w:r>
        <w:rPr>
          <w:sz w:val="21"/>
        </w:rPr>
        <w:t>D．西北地区</w:t>
      </w:r>
    </w:p>
    <w:p w14:paraId="112397AF">
      <w:pPr>
        <w:shd w:val="clear" w:color="auto" w:fill="auto"/>
        <w:spacing w:line="360" w:lineRule="auto"/>
        <w:jc w:val="left"/>
        <w:textAlignment w:val="center"/>
        <w:rPr>
          <w:sz w:val="21"/>
        </w:rPr>
      </w:pPr>
      <w:r>
        <w:rPr>
          <w:sz w:val="21"/>
        </w:rPr>
        <w:t>14．新质生产力产业发展的关键因素是（</w:t>
      </w:r>
      <w:r>
        <w:rPr>
          <w:rFonts w:ascii="Times New Roman" w:hAnsi="Times New Roman" w:eastAsia="Times New Roman" w:cs="Times New Roman"/>
          <w:kern w:val="0"/>
          <w:sz w:val="24"/>
          <w:szCs w:val="24"/>
        </w:rPr>
        <w:t>   </w:t>
      </w:r>
      <w:r>
        <w:rPr>
          <w:sz w:val="21"/>
        </w:rPr>
        <w:t>）</w:t>
      </w:r>
    </w:p>
    <w:p w14:paraId="51BA32D6">
      <w:pPr>
        <w:shd w:val="clear" w:color="auto" w:fill="auto"/>
        <w:tabs>
          <w:tab w:val="left" w:pos="2078"/>
          <w:tab w:val="left" w:pos="4156"/>
          <w:tab w:val="left" w:pos="6234"/>
        </w:tabs>
        <w:spacing w:line="360" w:lineRule="auto"/>
        <w:ind w:left="380"/>
        <w:jc w:val="left"/>
        <w:textAlignment w:val="center"/>
        <w:rPr>
          <w:sz w:val="21"/>
        </w:rPr>
      </w:pPr>
      <w:r>
        <w:rPr>
          <w:sz w:val="21"/>
        </w:rPr>
        <w:t>A．自然资源</w:t>
      </w:r>
      <w:r>
        <w:rPr>
          <w:sz w:val="21"/>
        </w:rPr>
        <w:tab/>
      </w:r>
      <w:r>
        <w:rPr>
          <w:sz w:val="21"/>
        </w:rPr>
        <w:t>B．科技创新</w:t>
      </w:r>
      <w:r>
        <w:rPr>
          <w:sz w:val="21"/>
        </w:rPr>
        <w:tab/>
      </w:r>
      <w:r>
        <w:rPr>
          <w:sz w:val="21"/>
        </w:rPr>
        <w:t>C．广阔市场</w:t>
      </w:r>
      <w:r>
        <w:rPr>
          <w:sz w:val="21"/>
        </w:rPr>
        <w:tab/>
      </w:r>
      <w:r>
        <w:rPr>
          <w:sz w:val="21"/>
        </w:rPr>
        <w:t>D．充裕资金</w:t>
      </w:r>
    </w:p>
    <w:p w14:paraId="74F699C6">
      <w:pPr>
        <w:shd w:val="clear" w:color="auto" w:fill="auto"/>
        <w:spacing w:line="360" w:lineRule="auto"/>
        <w:jc w:val="left"/>
        <w:textAlignment w:val="center"/>
        <w:rPr>
          <w:sz w:val="21"/>
        </w:rPr>
      </w:pPr>
      <w:r>
        <w:rPr>
          <w:sz w:val="21"/>
        </w:rPr>
        <w:t>15．我国各区域因地制宜发展新质生产力的方向是（</w:t>
      </w:r>
      <w:r>
        <w:rPr>
          <w:rFonts w:ascii="Times New Roman" w:hAnsi="Times New Roman" w:eastAsia="Times New Roman" w:cs="Times New Roman"/>
          <w:kern w:val="0"/>
          <w:sz w:val="24"/>
          <w:szCs w:val="24"/>
        </w:rPr>
        <w:t>   </w:t>
      </w:r>
      <w:r>
        <w:rPr>
          <w:sz w:val="21"/>
        </w:rPr>
        <w:t>）</w:t>
      </w:r>
    </w:p>
    <w:p w14:paraId="03BB7DA6">
      <w:pPr>
        <w:shd w:val="clear" w:color="auto" w:fill="auto"/>
        <w:tabs>
          <w:tab w:val="left" w:pos="4156"/>
        </w:tabs>
        <w:spacing w:line="360" w:lineRule="auto"/>
        <w:ind w:left="380"/>
        <w:jc w:val="left"/>
        <w:textAlignment w:val="center"/>
        <w:rPr>
          <w:sz w:val="21"/>
        </w:rPr>
      </w:pPr>
      <w:r>
        <w:rPr>
          <w:sz w:val="21"/>
        </w:rPr>
        <w:t>A．西南地区面积广大，全面发展粮食生产</w:t>
      </w:r>
      <w:r>
        <w:rPr>
          <w:sz w:val="21"/>
        </w:rPr>
        <w:tab/>
      </w:r>
    </w:p>
    <w:p w14:paraId="04E96A84">
      <w:pPr>
        <w:shd w:val="clear" w:color="auto" w:fill="auto"/>
        <w:tabs>
          <w:tab w:val="left" w:pos="4156"/>
        </w:tabs>
        <w:spacing w:line="360" w:lineRule="auto"/>
        <w:ind w:left="380"/>
        <w:jc w:val="left"/>
        <w:textAlignment w:val="center"/>
        <w:rPr>
          <w:sz w:val="21"/>
        </w:rPr>
      </w:pPr>
      <w:r>
        <w:rPr>
          <w:sz w:val="21"/>
        </w:rPr>
        <w:t>B．西北地区矿产丰富，发展海洋装备产业</w:t>
      </w:r>
    </w:p>
    <w:p w14:paraId="624E59C7">
      <w:pPr>
        <w:shd w:val="clear" w:color="auto" w:fill="auto"/>
        <w:tabs>
          <w:tab w:val="left" w:pos="4156"/>
        </w:tabs>
        <w:spacing w:line="360" w:lineRule="auto"/>
        <w:ind w:left="380"/>
        <w:jc w:val="left"/>
        <w:textAlignment w:val="center"/>
        <w:rPr>
          <w:sz w:val="21"/>
        </w:rPr>
      </w:pPr>
      <w:r>
        <w:rPr>
          <w:sz w:val="21"/>
        </w:rPr>
        <w:t>C．东北地区森林广布，大力发展林木采伐</w:t>
      </w:r>
      <w:r>
        <w:rPr>
          <w:sz w:val="21"/>
        </w:rPr>
        <w:tab/>
      </w:r>
    </w:p>
    <w:p w14:paraId="1A8DFC8B">
      <w:pPr>
        <w:shd w:val="clear" w:color="auto" w:fill="auto"/>
        <w:tabs>
          <w:tab w:val="left" w:pos="4156"/>
        </w:tabs>
        <w:spacing w:line="360" w:lineRule="auto"/>
        <w:ind w:left="380"/>
        <w:jc w:val="left"/>
        <w:textAlignment w:val="center"/>
        <w:rPr>
          <w:sz w:val="21"/>
        </w:rPr>
      </w:pPr>
      <w:r>
        <w:rPr>
          <w:sz w:val="21"/>
        </w:rPr>
        <w:t>D．东南沿海技术先进，打造高端服务产业</w:t>
      </w:r>
    </w:p>
    <w:p w14:paraId="412922B5">
      <w:pPr>
        <w:shd w:val="clear" w:color="auto" w:fill="auto"/>
        <w:tabs>
          <w:tab w:val="left" w:pos="4156"/>
        </w:tabs>
        <w:spacing w:line="360" w:lineRule="auto"/>
        <w:ind w:left="380"/>
        <w:jc w:val="left"/>
        <w:textAlignment w:val="center"/>
        <w:rPr>
          <w:sz w:val="21"/>
        </w:rPr>
      </w:pPr>
    </w:p>
    <w:p w14:paraId="2E5BC778">
      <w:pPr>
        <w:shd w:val="clear" w:color="auto" w:fill="auto"/>
        <w:spacing w:line="360" w:lineRule="auto"/>
        <w:ind w:firstLine="560"/>
        <w:jc w:val="left"/>
        <w:textAlignment w:val="center"/>
        <w:rPr>
          <w:sz w:val="21"/>
        </w:rPr>
      </w:pPr>
      <w:r>
        <w:rPr>
          <w:rFonts w:ascii="楷体" w:hAnsi="楷体" w:eastAsia="楷体" w:cs="楷体"/>
          <w:sz w:val="21"/>
        </w:rPr>
        <w:t>高标准农田是通过土地整治、设施配套和生态改良等措施建设的现代化农田。近年来，在加大高标准农田建设基础上，河南依靠智慧节水灌溉、安徽发挥杂交水稻种业优势，不断巩固其作为国家粮食生产大省地位。如图为两省位置、地形示意图和河南省高标准农田景观图。据此完成下面小题。</w:t>
      </w:r>
    </w:p>
    <w:p w14:paraId="038BCBF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33900" cy="1647825"/>
            <wp:effectExtent l="0" t="0" r="0" b="9525"/>
            <wp:docPr id="100013" name="图片 100013" descr="@@@a6aea89f1b92464abaca8134e0bc94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6aea89f1b92464abaca8134e0bc944f"/>
                    <pic:cNvPicPr>
                      <a:picLocks noChangeAspect="1"/>
                    </pic:cNvPicPr>
                  </pic:nvPicPr>
                  <pic:blipFill>
                    <a:blip r:embed="rId14"/>
                    <a:stretch>
                      <a:fillRect/>
                    </a:stretch>
                  </pic:blipFill>
                  <pic:spPr>
                    <a:xfrm>
                      <a:off x="0" y="0"/>
                      <a:ext cx="4533900" cy="1647825"/>
                    </a:xfrm>
                    <a:prstGeom prst="rect">
                      <a:avLst/>
                    </a:prstGeom>
                  </pic:spPr>
                </pic:pic>
              </a:graphicData>
            </a:graphic>
          </wp:inline>
        </w:drawing>
      </w:r>
    </w:p>
    <w:p w14:paraId="67DDE7B8">
      <w:pPr>
        <w:shd w:val="clear" w:color="auto" w:fill="auto"/>
        <w:spacing w:line="360" w:lineRule="auto"/>
        <w:jc w:val="left"/>
        <w:textAlignment w:val="center"/>
        <w:rPr>
          <w:sz w:val="21"/>
        </w:rPr>
      </w:pPr>
      <w:r>
        <w:rPr>
          <w:sz w:val="21"/>
        </w:rPr>
        <w:t>16．从农业发展的条件看（</w:t>
      </w:r>
      <w:r>
        <w:rPr>
          <w:rFonts w:ascii="Times New Roman" w:hAnsi="Times New Roman" w:eastAsia="Times New Roman" w:cs="Times New Roman"/>
          <w:kern w:val="0"/>
          <w:sz w:val="24"/>
          <w:szCs w:val="24"/>
        </w:rPr>
        <w:t>   </w:t>
      </w:r>
      <w:r>
        <w:rPr>
          <w:sz w:val="21"/>
        </w:rPr>
        <w:t>）</w:t>
      </w:r>
    </w:p>
    <w:p w14:paraId="305F1245">
      <w:pPr>
        <w:shd w:val="clear" w:color="auto" w:fill="auto"/>
        <w:tabs>
          <w:tab w:val="left" w:pos="4156"/>
        </w:tabs>
        <w:spacing w:line="360" w:lineRule="auto"/>
        <w:ind w:left="380"/>
        <w:jc w:val="left"/>
        <w:textAlignment w:val="center"/>
        <w:rPr>
          <w:sz w:val="21"/>
        </w:rPr>
      </w:pPr>
      <w:r>
        <w:rPr>
          <w:sz w:val="21"/>
        </w:rPr>
        <w:t>A．两省均位于海河流域</w:t>
      </w:r>
      <w:r>
        <w:rPr>
          <w:sz w:val="21"/>
        </w:rPr>
        <w:tab/>
      </w:r>
      <w:r>
        <w:rPr>
          <w:sz w:val="21"/>
        </w:rPr>
        <w:t>B．河南东部平原零散破碎</w:t>
      </w:r>
    </w:p>
    <w:p w14:paraId="6D4899FA">
      <w:pPr>
        <w:shd w:val="clear" w:color="auto" w:fill="auto"/>
        <w:tabs>
          <w:tab w:val="left" w:pos="4156"/>
        </w:tabs>
        <w:spacing w:line="360" w:lineRule="auto"/>
        <w:ind w:left="380"/>
        <w:jc w:val="left"/>
        <w:textAlignment w:val="center"/>
        <w:rPr>
          <w:sz w:val="21"/>
        </w:rPr>
      </w:pPr>
      <w:r>
        <w:rPr>
          <w:sz w:val="21"/>
        </w:rPr>
        <w:t>C．两省水热条件配合好</w:t>
      </w:r>
      <w:r>
        <w:rPr>
          <w:sz w:val="21"/>
        </w:rPr>
        <w:tab/>
      </w:r>
      <w:r>
        <w:rPr>
          <w:sz w:val="21"/>
        </w:rPr>
        <w:t>D．安徽南部平原集中连片</w:t>
      </w:r>
    </w:p>
    <w:p w14:paraId="21C38A9E">
      <w:pPr>
        <w:shd w:val="clear" w:color="auto" w:fill="auto"/>
        <w:spacing w:line="360" w:lineRule="auto"/>
        <w:jc w:val="left"/>
        <w:textAlignment w:val="center"/>
        <w:rPr>
          <w:sz w:val="21"/>
        </w:rPr>
      </w:pPr>
      <w:r>
        <w:rPr>
          <w:sz w:val="21"/>
        </w:rPr>
        <w:t>17．高标准农田建设的主要目的是（</w:t>
      </w:r>
      <w:r>
        <w:rPr>
          <w:rFonts w:ascii="Times New Roman" w:hAnsi="Times New Roman" w:eastAsia="Times New Roman" w:cs="Times New Roman"/>
          <w:kern w:val="0"/>
          <w:sz w:val="24"/>
          <w:szCs w:val="24"/>
        </w:rPr>
        <w:t>   </w:t>
      </w:r>
      <w:r>
        <w:rPr>
          <w:sz w:val="21"/>
        </w:rPr>
        <w:t>）</w:t>
      </w:r>
    </w:p>
    <w:p w14:paraId="14D12EFD">
      <w:pPr>
        <w:shd w:val="clear" w:color="auto" w:fill="auto"/>
        <w:spacing w:line="360" w:lineRule="auto"/>
        <w:jc w:val="left"/>
        <w:textAlignment w:val="center"/>
        <w:rPr>
          <w:sz w:val="21"/>
        </w:rPr>
      </w:pPr>
      <w:r>
        <w:rPr>
          <w:sz w:val="21"/>
        </w:rPr>
        <w:t>①田成方、路相通、渠相连，提高农业机械化水平</w:t>
      </w:r>
    </w:p>
    <w:p w14:paraId="6834D366">
      <w:pPr>
        <w:shd w:val="clear" w:color="auto" w:fill="auto"/>
        <w:spacing w:line="360" w:lineRule="auto"/>
        <w:jc w:val="left"/>
        <w:textAlignment w:val="center"/>
        <w:rPr>
          <w:sz w:val="21"/>
        </w:rPr>
      </w:pPr>
      <w:r>
        <w:rPr>
          <w:sz w:val="21"/>
        </w:rPr>
        <w:t>②提高农业抗灾减灾能力，促进农业可持续发展</w:t>
      </w:r>
    </w:p>
    <w:p w14:paraId="22E09A0F">
      <w:pPr>
        <w:shd w:val="clear" w:color="auto" w:fill="auto"/>
        <w:spacing w:line="360" w:lineRule="auto"/>
        <w:jc w:val="left"/>
        <w:textAlignment w:val="center"/>
        <w:rPr>
          <w:sz w:val="21"/>
        </w:rPr>
      </w:pPr>
      <w:r>
        <w:rPr>
          <w:sz w:val="21"/>
        </w:rPr>
        <w:t>③大量使用化肥农药，实现农业高产稳产</w:t>
      </w:r>
    </w:p>
    <w:p w14:paraId="69594803">
      <w:pPr>
        <w:shd w:val="clear" w:color="auto" w:fill="auto"/>
        <w:spacing w:line="360" w:lineRule="auto"/>
        <w:jc w:val="left"/>
        <w:textAlignment w:val="center"/>
        <w:rPr>
          <w:sz w:val="21"/>
        </w:rPr>
      </w:pPr>
      <w:r>
        <w:rPr>
          <w:sz w:val="21"/>
        </w:rPr>
        <w:t>④改良土壤、合理灌溉，提高耕地质量</w:t>
      </w:r>
    </w:p>
    <w:p w14:paraId="5FC32A00">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B．①③④</w:t>
      </w:r>
      <w:r>
        <w:rPr>
          <w:sz w:val="21"/>
        </w:rPr>
        <w:tab/>
      </w:r>
      <w:r>
        <w:rPr>
          <w:sz w:val="21"/>
        </w:rPr>
        <w:t>C．②③④</w:t>
      </w:r>
      <w:r>
        <w:rPr>
          <w:sz w:val="21"/>
        </w:rPr>
        <w:tab/>
      </w:r>
      <w:r>
        <w:rPr>
          <w:sz w:val="21"/>
        </w:rPr>
        <w:t>D．①②④</w:t>
      </w:r>
    </w:p>
    <w:p w14:paraId="0E1762EB">
      <w:pPr>
        <w:shd w:val="clear" w:color="auto" w:fill="auto"/>
        <w:spacing w:line="360" w:lineRule="auto"/>
        <w:jc w:val="left"/>
        <w:textAlignment w:val="center"/>
        <w:rPr>
          <w:sz w:val="21"/>
        </w:rPr>
      </w:pPr>
      <w:r>
        <w:rPr>
          <w:sz w:val="21"/>
        </w:rPr>
        <w:t>18．为巩固国家粮食安全，两省未来的努力方向是（</w:t>
      </w:r>
      <w:r>
        <w:rPr>
          <w:rFonts w:ascii="Times New Roman" w:hAnsi="Times New Roman" w:eastAsia="Times New Roman" w:cs="Times New Roman"/>
          <w:kern w:val="0"/>
          <w:sz w:val="24"/>
          <w:szCs w:val="24"/>
        </w:rPr>
        <w:t>   </w:t>
      </w:r>
      <w:r>
        <w:rPr>
          <w:sz w:val="21"/>
        </w:rPr>
        <w:t>）</w:t>
      </w:r>
    </w:p>
    <w:p w14:paraId="1054C1DA">
      <w:pPr>
        <w:shd w:val="clear" w:color="auto" w:fill="auto"/>
        <w:tabs>
          <w:tab w:val="left" w:pos="4156"/>
        </w:tabs>
        <w:spacing w:line="360" w:lineRule="auto"/>
        <w:ind w:left="380"/>
        <w:jc w:val="left"/>
        <w:textAlignment w:val="center"/>
        <w:rPr>
          <w:sz w:val="21"/>
        </w:rPr>
      </w:pPr>
      <w:r>
        <w:rPr>
          <w:sz w:val="21"/>
        </w:rPr>
        <w:t>A．科技创新，高效利用土地资源</w:t>
      </w:r>
      <w:r>
        <w:rPr>
          <w:sz w:val="21"/>
        </w:rPr>
        <w:tab/>
      </w:r>
      <w:r>
        <w:rPr>
          <w:sz w:val="21"/>
        </w:rPr>
        <w:t>B．安徽加大热带水果育种</w:t>
      </w:r>
    </w:p>
    <w:p w14:paraId="3BEDBEC3">
      <w:pPr>
        <w:shd w:val="clear" w:color="auto" w:fill="auto"/>
        <w:tabs>
          <w:tab w:val="left" w:pos="4156"/>
        </w:tabs>
        <w:spacing w:line="360" w:lineRule="auto"/>
        <w:ind w:left="380"/>
        <w:jc w:val="left"/>
        <w:textAlignment w:val="center"/>
        <w:rPr>
          <w:sz w:val="21"/>
        </w:rPr>
      </w:pPr>
      <w:r>
        <w:rPr>
          <w:sz w:val="21"/>
        </w:rPr>
        <w:t>C．建立预警机制，消除灾害天气</w:t>
      </w:r>
      <w:r>
        <w:rPr>
          <w:sz w:val="21"/>
        </w:rPr>
        <w:tab/>
      </w:r>
      <w:r>
        <w:rPr>
          <w:sz w:val="21"/>
        </w:rPr>
        <w:t>D．河南扩大水稻种植面积</w:t>
      </w:r>
    </w:p>
    <w:p w14:paraId="342D0CAA">
      <w:pPr>
        <w:shd w:val="clear" w:color="auto" w:fill="auto"/>
        <w:tabs>
          <w:tab w:val="left" w:pos="4156"/>
        </w:tabs>
        <w:spacing w:line="360" w:lineRule="auto"/>
        <w:ind w:left="380"/>
        <w:jc w:val="left"/>
        <w:textAlignment w:val="center"/>
        <w:rPr>
          <w:sz w:val="21"/>
        </w:rPr>
      </w:pPr>
    </w:p>
    <w:p w14:paraId="47C563C9">
      <w:pPr>
        <w:shd w:val="clear" w:color="auto" w:fill="auto"/>
        <w:spacing w:line="360" w:lineRule="auto"/>
        <w:ind w:firstLine="560"/>
        <w:jc w:val="left"/>
        <w:textAlignment w:val="center"/>
        <w:rPr>
          <w:sz w:val="21"/>
        </w:rPr>
      </w:pPr>
      <w:r>
        <w:rPr>
          <w:rFonts w:ascii="楷体" w:hAnsi="楷体" w:eastAsia="楷体" w:cs="楷体"/>
          <w:sz w:val="21"/>
        </w:rPr>
        <w:t>在台湾省鹅銮鼻附近海域，有一些露出海面的高位珊瑚礁，上面生长着一些极其低矮、贴地而生的灌木和草本植物。如图为台湾省简图。据此完成下面小题。</w:t>
      </w:r>
    </w:p>
    <w:p w14:paraId="5840DDAC">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52825" cy="2895600"/>
            <wp:effectExtent l="0" t="0" r="9525" b="0"/>
            <wp:docPr id="100015" name="图片 100015" descr="@@@40b88d09-4a0d-4dd5-9c16-843545666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40b88d09-4a0d-4dd5-9c16-843545666566"/>
                    <pic:cNvPicPr>
                      <a:picLocks noChangeAspect="1"/>
                    </pic:cNvPicPr>
                  </pic:nvPicPr>
                  <pic:blipFill>
                    <a:blip r:embed="rId15"/>
                    <a:stretch>
                      <a:fillRect/>
                    </a:stretch>
                  </pic:blipFill>
                  <pic:spPr>
                    <a:xfrm>
                      <a:off x="0" y="0"/>
                      <a:ext cx="3552825" cy="2895600"/>
                    </a:xfrm>
                    <a:prstGeom prst="rect">
                      <a:avLst/>
                    </a:prstGeom>
                  </pic:spPr>
                </pic:pic>
              </a:graphicData>
            </a:graphic>
          </wp:inline>
        </w:drawing>
      </w:r>
    </w:p>
    <w:p w14:paraId="508E2AA2">
      <w:pPr>
        <w:shd w:val="clear" w:color="auto" w:fill="auto"/>
        <w:spacing w:line="360" w:lineRule="auto"/>
        <w:jc w:val="left"/>
        <w:textAlignment w:val="center"/>
        <w:rPr>
          <w:sz w:val="21"/>
        </w:rPr>
      </w:pPr>
      <w:r>
        <w:rPr>
          <w:sz w:val="21"/>
        </w:rPr>
        <w:t>19．这些珊瑚礁大致位于（</w:t>
      </w:r>
      <w:r>
        <w:rPr>
          <w:rFonts w:ascii="Times New Roman" w:hAnsi="Times New Roman" w:eastAsia="Times New Roman" w:cs="Times New Roman"/>
          <w:kern w:val="0"/>
          <w:sz w:val="24"/>
          <w:szCs w:val="24"/>
        </w:rPr>
        <w:t>   </w:t>
      </w:r>
      <w:r>
        <w:rPr>
          <w:sz w:val="21"/>
        </w:rPr>
        <w:t>）</w:t>
      </w:r>
    </w:p>
    <w:p w14:paraId="238B9562">
      <w:pPr>
        <w:shd w:val="clear" w:color="auto" w:fill="auto"/>
        <w:tabs>
          <w:tab w:val="left" w:pos="2078"/>
          <w:tab w:val="left" w:pos="4156"/>
          <w:tab w:val="left" w:pos="6234"/>
        </w:tabs>
        <w:spacing w:line="360" w:lineRule="auto"/>
        <w:ind w:left="380"/>
        <w:jc w:val="left"/>
        <w:textAlignment w:val="center"/>
        <w:rPr>
          <w:sz w:val="21"/>
        </w:rPr>
      </w:pPr>
      <w:r>
        <w:rPr>
          <w:sz w:val="21"/>
        </w:rPr>
        <w:t>A．台湾省北部</w:t>
      </w:r>
      <w:r>
        <w:rPr>
          <w:sz w:val="21"/>
        </w:rPr>
        <w:tab/>
      </w:r>
      <w:r>
        <w:rPr>
          <w:sz w:val="21"/>
        </w:rPr>
        <w:t>B．低纬度地区</w:t>
      </w:r>
      <w:r>
        <w:rPr>
          <w:sz w:val="21"/>
        </w:rPr>
        <w:tab/>
      </w:r>
      <w:r>
        <w:rPr>
          <w:sz w:val="21"/>
        </w:rPr>
        <w:t>C．温带海域</w:t>
      </w:r>
      <w:r>
        <w:rPr>
          <w:sz w:val="21"/>
        </w:rPr>
        <w:tab/>
      </w:r>
      <w:r>
        <w:rPr>
          <w:sz w:val="21"/>
        </w:rPr>
        <w:t>D．台湾海峡西部</w:t>
      </w:r>
    </w:p>
    <w:p w14:paraId="3CA06777">
      <w:pPr>
        <w:shd w:val="clear" w:color="auto" w:fill="auto"/>
        <w:spacing w:line="360" w:lineRule="auto"/>
        <w:jc w:val="left"/>
        <w:textAlignment w:val="center"/>
        <w:rPr>
          <w:sz w:val="21"/>
        </w:rPr>
      </w:pPr>
      <w:r>
        <w:rPr>
          <w:sz w:val="21"/>
        </w:rPr>
        <w:t>20．珊瑚礁上植物低矮、贴地而生的原因最可能是（</w:t>
      </w:r>
      <w:r>
        <w:rPr>
          <w:rFonts w:ascii="Times New Roman" w:hAnsi="Times New Roman" w:eastAsia="Times New Roman" w:cs="Times New Roman"/>
          <w:kern w:val="0"/>
          <w:sz w:val="24"/>
          <w:szCs w:val="24"/>
        </w:rPr>
        <w:t>   </w:t>
      </w:r>
      <w:r>
        <w:rPr>
          <w:sz w:val="21"/>
        </w:rPr>
        <w:t>）</w:t>
      </w:r>
    </w:p>
    <w:p w14:paraId="5D6FEC1F">
      <w:pPr>
        <w:shd w:val="clear" w:color="auto" w:fill="auto"/>
        <w:tabs>
          <w:tab w:val="left" w:pos="2078"/>
          <w:tab w:val="left" w:pos="4156"/>
          <w:tab w:val="left" w:pos="6234"/>
        </w:tabs>
        <w:spacing w:line="360" w:lineRule="auto"/>
        <w:ind w:left="380"/>
        <w:jc w:val="left"/>
        <w:textAlignment w:val="center"/>
        <w:rPr>
          <w:sz w:val="21"/>
        </w:rPr>
      </w:pPr>
      <w:r>
        <w:rPr>
          <w:sz w:val="21"/>
        </w:rPr>
        <w:t>A．抵御强劲海风</w:t>
      </w:r>
      <w:r>
        <w:rPr>
          <w:sz w:val="21"/>
        </w:rPr>
        <w:tab/>
      </w:r>
      <w:r>
        <w:rPr>
          <w:sz w:val="21"/>
        </w:rPr>
        <w:t>B．利于通风散热</w:t>
      </w:r>
      <w:r>
        <w:rPr>
          <w:sz w:val="21"/>
        </w:rPr>
        <w:tab/>
      </w:r>
      <w:r>
        <w:rPr>
          <w:sz w:val="21"/>
        </w:rPr>
        <w:t>C．获取更多光照</w:t>
      </w:r>
      <w:r>
        <w:rPr>
          <w:sz w:val="21"/>
        </w:rPr>
        <w:tab/>
      </w:r>
      <w:r>
        <w:rPr>
          <w:sz w:val="21"/>
        </w:rPr>
        <w:t>D．利于防寒抗旱</w:t>
      </w:r>
    </w:p>
    <w:p w14:paraId="357B3728">
      <w:pPr>
        <w:shd w:val="clear" w:color="auto" w:fill="auto"/>
        <w:tabs>
          <w:tab w:val="left" w:pos="2078"/>
          <w:tab w:val="left" w:pos="4156"/>
          <w:tab w:val="left" w:pos="6234"/>
        </w:tabs>
        <w:spacing w:line="360" w:lineRule="auto"/>
        <w:ind w:left="380"/>
        <w:jc w:val="left"/>
        <w:textAlignment w:val="center"/>
        <w:rPr>
          <w:sz w:val="21"/>
        </w:rPr>
      </w:pPr>
    </w:p>
    <w:p w14:paraId="7F2FDBFA">
      <w:pPr>
        <w:jc w:val="center"/>
        <w:textAlignment w:val="center"/>
        <w:rPr>
          <w:rFonts w:ascii="黑体" w:hAnsi="黑体" w:eastAsia="黑体" w:cs="黑体"/>
          <w:b/>
          <w:i w:val="0"/>
          <w:color w:val="000000"/>
          <w:sz w:val="30"/>
        </w:rPr>
      </w:pPr>
    </w:p>
    <w:p w14:paraId="2F1BB0F5">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13897293">
      <w:pPr>
        <w:shd w:val="clear" w:color="auto" w:fill="auto"/>
        <w:spacing w:line="360" w:lineRule="auto"/>
        <w:jc w:val="left"/>
        <w:textAlignment w:val="center"/>
        <w:rPr>
          <w:sz w:val="21"/>
        </w:rPr>
      </w:pPr>
      <w:r>
        <w:rPr>
          <w:sz w:val="21"/>
        </w:rPr>
        <w:t>21．【地理实验】</w:t>
      </w:r>
    </w:p>
    <w:p w14:paraId="34FC674B">
      <w:pPr>
        <w:shd w:val="clear" w:color="auto" w:fill="auto"/>
        <w:spacing w:line="360" w:lineRule="auto"/>
        <w:ind w:firstLine="560"/>
        <w:jc w:val="left"/>
        <w:textAlignment w:val="center"/>
        <w:rPr>
          <w:sz w:val="21"/>
        </w:rPr>
      </w:pPr>
      <w:r>
        <w:rPr>
          <w:rFonts w:ascii="楷体" w:hAnsi="楷体" w:eastAsia="楷体" w:cs="楷体"/>
          <w:sz w:val="21"/>
        </w:rPr>
        <w:t>实验背景：同学们在学习《世界的气候》时，发现温带海洋性气候在欧洲和北美洲同纬度的大陆西岸分布面积差异显著，如图所示。为了探究其原因，同学们设计了模拟实验。</w:t>
      </w:r>
    </w:p>
    <w:p w14:paraId="27F3F07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038475" cy="1295400"/>
            <wp:effectExtent l="0" t="0" r="9525" b="0"/>
            <wp:docPr id="100017" name="图片 100017" descr="@@@bd02d65595874ce9a27b3b59403fd1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d02d65595874ce9a27b3b59403fd17a"/>
                    <pic:cNvPicPr>
                      <a:picLocks noChangeAspect="1"/>
                    </pic:cNvPicPr>
                  </pic:nvPicPr>
                  <pic:blipFill>
                    <a:blip r:embed="rId16"/>
                    <a:stretch>
                      <a:fillRect/>
                    </a:stretch>
                  </pic:blipFill>
                  <pic:spPr>
                    <a:xfrm>
                      <a:off x="0" y="0"/>
                      <a:ext cx="3038475" cy="1295400"/>
                    </a:xfrm>
                    <a:prstGeom prst="rect">
                      <a:avLst/>
                    </a:prstGeom>
                  </pic:spPr>
                </pic:pic>
              </a:graphicData>
            </a:graphic>
          </wp:inline>
        </w:drawing>
      </w:r>
    </w:p>
    <w:p w14:paraId="6776D520">
      <w:pPr>
        <w:shd w:val="clear" w:color="auto" w:fill="auto"/>
        <w:spacing w:line="360" w:lineRule="auto"/>
        <w:ind w:firstLine="560"/>
        <w:jc w:val="left"/>
        <w:textAlignment w:val="center"/>
        <w:rPr>
          <w:sz w:val="21"/>
        </w:rPr>
      </w:pPr>
      <w:r>
        <w:rPr>
          <w:rFonts w:ascii="楷体" w:hAnsi="楷体" w:eastAsia="楷体" w:cs="楷体"/>
          <w:sz w:val="21"/>
        </w:rPr>
        <w:t>实验设计：如图所示</w:t>
      </w:r>
    </w:p>
    <w:p w14:paraId="72BF255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57450" cy="1285875"/>
            <wp:effectExtent l="0" t="0" r="0" b="9525"/>
            <wp:docPr id="100019" name="图片 100019" descr="@@@67cc60f704c9479a9a34bf53f37df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7cc60f704c9479a9a34bf53f37df382"/>
                    <pic:cNvPicPr>
                      <a:picLocks noChangeAspect="1"/>
                    </pic:cNvPicPr>
                  </pic:nvPicPr>
                  <pic:blipFill>
                    <a:blip r:embed="rId17"/>
                    <a:stretch>
                      <a:fillRect/>
                    </a:stretch>
                  </pic:blipFill>
                  <pic:spPr>
                    <a:xfrm>
                      <a:off x="0" y="0"/>
                      <a:ext cx="2457450" cy="1285875"/>
                    </a:xfrm>
                    <a:prstGeom prst="rect">
                      <a:avLst/>
                    </a:prstGeom>
                  </pic:spPr>
                </pic:pic>
              </a:graphicData>
            </a:graphic>
          </wp:inline>
        </w:drawing>
      </w:r>
    </w:p>
    <w:p w14:paraId="0A5030CD">
      <w:pPr>
        <w:shd w:val="clear" w:color="auto" w:fill="auto"/>
        <w:spacing w:line="360" w:lineRule="auto"/>
        <w:ind w:firstLine="560"/>
        <w:jc w:val="left"/>
        <w:textAlignment w:val="center"/>
        <w:rPr>
          <w:sz w:val="21"/>
        </w:rPr>
      </w:pPr>
      <w:r>
        <w:rPr>
          <w:rFonts w:ascii="楷体" w:hAnsi="楷体" w:eastAsia="楷体" w:cs="楷体"/>
          <w:sz w:val="21"/>
        </w:rPr>
        <w:t>实验观察：</w:t>
      </w:r>
    </w:p>
    <w:p w14:paraId="74860542">
      <w:pPr>
        <w:shd w:val="clear" w:color="auto" w:fill="auto"/>
        <w:spacing w:line="360" w:lineRule="auto"/>
        <w:ind w:firstLine="560"/>
        <w:jc w:val="left"/>
        <w:textAlignment w:val="center"/>
        <w:rPr>
          <w:sz w:val="21"/>
        </w:rPr>
      </w:pPr>
      <w:r>
        <w:rPr>
          <w:rFonts w:ascii="楷体" w:hAnsi="楷体" w:eastAsia="楷体" w:cs="楷体"/>
          <w:sz w:val="21"/>
        </w:rPr>
        <w:t>表实验前后湿度对比</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70"/>
        <w:gridCol w:w="1500"/>
      </w:tblGrid>
      <w:tr w14:paraId="791E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1CDDF">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点位</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16212">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实验前</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30892">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实验3分钟后</w:t>
            </w:r>
          </w:p>
        </w:tc>
      </w:tr>
      <w:tr w14:paraId="53E89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785E1">
            <w:pPr>
              <w:shd w:val="clear" w:color="auto" w:fill="auto"/>
              <w:spacing w:line="360" w:lineRule="auto"/>
              <w:jc w:val="center"/>
              <w:textAlignment w:val="center"/>
              <w:rPr>
                <w:sz w:val="21"/>
              </w:rPr>
            </w:pPr>
            <w:r>
              <w:rPr>
                <w:sz w:val="21"/>
              </w:rPr>
              <w:t>a</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45CB08">
            <w:pPr>
              <w:shd w:val="clear" w:color="auto" w:fill="auto"/>
              <w:spacing w:line="360" w:lineRule="auto"/>
              <w:jc w:val="center"/>
              <w:textAlignment w:val="center"/>
              <w:rPr>
                <w:sz w:val="21"/>
              </w:rPr>
            </w:pPr>
            <w:r>
              <w:rPr>
                <w:sz w:val="21"/>
              </w:rPr>
              <w:t>36%</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DDCC0">
            <w:pPr>
              <w:shd w:val="clear" w:color="auto" w:fill="auto"/>
              <w:spacing w:line="360" w:lineRule="auto"/>
              <w:jc w:val="center"/>
              <w:textAlignment w:val="center"/>
              <w:rPr>
                <w:sz w:val="21"/>
              </w:rPr>
            </w:pPr>
            <w:r>
              <w:rPr>
                <w:sz w:val="21"/>
              </w:rPr>
              <w:t>49%</w:t>
            </w:r>
          </w:p>
        </w:tc>
      </w:tr>
      <w:tr w14:paraId="4852C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7F83DC">
            <w:pPr>
              <w:shd w:val="clear" w:color="auto" w:fill="auto"/>
              <w:spacing w:line="360" w:lineRule="auto"/>
              <w:jc w:val="center"/>
              <w:textAlignment w:val="center"/>
              <w:rPr>
                <w:sz w:val="21"/>
              </w:rPr>
            </w:pPr>
            <w:r>
              <w:rPr>
                <w:sz w:val="21"/>
              </w:rPr>
              <w:t>b</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FE7AA">
            <w:pPr>
              <w:shd w:val="clear" w:color="auto" w:fill="auto"/>
              <w:spacing w:line="360" w:lineRule="auto"/>
              <w:jc w:val="center"/>
              <w:textAlignment w:val="center"/>
              <w:rPr>
                <w:sz w:val="21"/>
              </w:rPr>
            </w:pPr>
            <w:r>
              <w:rPr>
                <w:sz w:val="21"/>
              </w:rPr>
              <w:t>36%</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74FD7">
            <w:pPr>
              <w:shd w:val="clear" w:color="auto" w:fill="auto"/>
              <w:spacing w:line="360" w:lineRule="auto"/>
              <w:jc w:val="center"/>
              <w:textAlignment w:val="center"/>
              <w:rPr>
                <w:sz w:val="21"/>
              </w:rPr>
            </w:pPr>
            <w:r>
              <w:rPr>
                <w:sz w:val="21"/>
              </w:rPr>
              <w:t>43%</w:t>
            </w:r>
          </w:p>
        </w:tc>
      </w:tr>
      <w:tr w14:paraId="68B3F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99EF42">
            <w:pPr>
              <w:shd w:val="clear" w:color="auto" w:fill="auto"/>
              <w:spacing w:line="360" w:lineRule="auto"/>
              <w:jc w:val="center"/>
              <w:textAlignment w:val="center"/>
              <w:rPr>
                <w:sz w:val="21"/>
              </w:rPr>
            </w:pPr>
            <w:r>
              <w:rPr>
                <w:sz w:val="21"/>
              </w:rPr>
              <w:t>c</w:t>
            </w:r>
          </w:p>
        </w:tc>
        <w:tc>
          <w:tcPr>
            <w:tcW w:w="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23F63C">
            <w:pPr>
              <w:shd w:val="clear" w:color="auto" w:fill="auto"/>
              <w:spacing w:line="360" w:lineRule="auto"/>
              <w:jc w:val="center"/>
              <w:textAlignment w:val="center"/>
              <w:rPr>
                <w:sz w:val="21"/>
              </w:rPr>
            </w:pPr>
            <w:r>
              <w:rPr>
                <w:sz w:val="21"/>
              </w:rPr>
              <w:t>36%</w:t>
            </w:r>
          </w:p>
        </w:tc>
        <w:tc>
          <w:tcPr>
            <w:tcW w:w="15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1D935">
            <w:pPr>
              <w:shd w:val="clear" w:color="auto" w:fill="auto"/>
              <w:spacing w:line="360" w:lineRule="auto"/>
              <w:jc w:val="center"/>
              <w:textAlignment w:val="center"/>
              <w:rPr>
                <w:sz w:val="21"/>
              </w:rPr>
            </w:pPr>
            <w:r>
              <w:rPr>
                <w:sz w:val="21"/>
              </w:rPr>
              <w:t>46%</w:t>
            </w:r>
          </w:p>
        </w:tc>
      </w:tr>
    </w:tbl>
    <w:p w14:paraId="0C1F374D">
      <w:pPr>
        <w:shd w:val="clear" w:color="auto" w:fill="auto"/>
        <w:spacing w:line="360" w:lineRule="auto"/>
        <w:ind w:firstLine="560"/>
        <w:jc w:val="left"/>
        <w:textAlignment w:val="center"/>
        <w:rPr>
          <w:sz w:val="21"/>
        </w:rPr>
      </w:pPr>
      <w:r>
        <w:rPr>
          <w:rFonts w:ascii="楷体" w:hAnsi="楷体" w:eastAsia="楷体" w:cs="楷体"/>
          <w:sz w:val="21"/>
        </w:rPr>
        <w:t>实验思考：</w:t>
      </w:r>
    </w:p>
    <w:p w14:paraId="2DAC751B">
      <w:pPr>
        <w:shd w:val="clear" w:color="auto" w:fill="auto"/>
        <w:spacing w:line="360" w:lineRule="auto"/>
        <w:jc w:val="left"/>
        <w:textAlignment w:val="center"/>
        <w:rPr>
          <w:sz w:val="21"/>
        </w:rPr>
      </w:pPr>
      <w:r>
        <w:rPr>
          <w:sz w:val="21"/>
        </w:rPr>
        <w:t>(1)比较实验3分钟后a、b、c三处湿度的差异，并说出影响三处湿度差异的因素。</w:t>
      </w:r>
    </w:p>
    <w:p w14:paraId="6556B89A">
      <w:pPr>
        <w:shd w:val="clear" w:color="auto" w:fill="auto"/>
        <w:spacing w:line="360" w:lineRule="auto"/>
        <w:jc w:val="left"/>
        <w:textAlignment w:val="center"/>
        <w:rPr>
          <w:sz w:val="21"/>
        </w:rPr>
      </w:pPr>
      <w:r>
        <w:rPr>
          <w:sz w:val="21"/>
        </w:rPr>
        <w:t>(2)如果在本实验中仅加高山体模型的高度，推测b处湿度的变化，并说明原因。</w:t>
      </w:r>
    </w:p>
    <w:p w14:paraId="011B10B1">
      <w:pPr>
        <w:shd w:val="clear" w:color="auto" w:fill="auto"/>
        <w:spacing w:line="360" w:lineRule="auto"/>
        <w:ind w:firstLine="560"/>
        <w:jc w:val="left"/>
        <w:textAlignment w:val="center"/>
        <w:rPr>
          <w:sz w:val="21"/>
        </w:rPr>
      </w:pPr>
      <w:r>
        <w:rPr>
          <w:rFonts w:ascii="楷体" w:hAnsi="楷体" w:eastAsia="楷体" w:cs="楷体"/>
          <w:sz w:val="21"/>
        </w:rPr>
        <w:t>实验结论：</w:t>
      </w:r>
    </w:p>
    <w:p w14:paraId="0B206717">
      <w:pPr>
        <w:shd w:val="clear" w:color="auto" w:fill="auto"/>
        <w:spacing w:line="360" w:lineRule="auto"/>
        <w:jc w:val="left"/>
        <w:textAlignment w:val="center"/>
        <w:rPr>
          <w:sz w:val="21"/>
        </w:rPr>
      </w:pPr>
      <w:r>
        <w:rPr>
          <w:sz w:val="21"/>
        </w:rPr>
        <w:t>(3)结合实验结果，归纳欧洲和北美洲温带海洋性气候分布面积差异大的原因。</w:t>
      </w:r>
    </w:p>
    <w:p w14:paraId="6CB77554">
      <w:pPr>
        <w:shd w:val="clear" w:color="auto" w:fill="auto"/>
        <w:spacing w:line="360" w:lineRule="auto"/>
        <w:jc w:val="left"/>
        <w:textAlignment w:val="center"/>
        <w:rPr>
          <w:sz w:val="21"/>
        </w:rPr>
      </w:pPr>
      <w:r>
        <w:rPr>
          <w:sz w:val="21"/>
        </w:rPr>
        <w:t>22．【地理思辨】阅读图文材料，完成下列问题。</w:t>
      </w:r>
    </w:p>
    <w:p w14:paraId="64A531B5">
      <w:pPr>
        <w:shd w:val="clear" w:color="auto" w:fill="auto"/>
        <w:spacing w:line="360" w:lineRule="auto"/>
        <w:ind w:firstLine="560"/>
        <w:jc w:val="left"/>
        <w:textAlignment w:val="center"/>
        <w:rPr>
          <w:sz w:val="21"/>
        </w:rPr>
      </w:pPr>
      <w:r>
        <w:rPr>
          <w:rFonts w:ascii="楷体" w:hAnsi="楷体" w:eastAsia="楷体" w:cs="楷体"/>
          <w:sz w:val="21"/>
        </w:rPr>
        <w:t>材料一：巴西是南美洲第一大国，钢铁、汽车、造船等行业在世界享有盛誉，工业实力位居南美洲首位。巴西运输以公路为主，至今未形成统一的铁路网。巴西甘蔗产量大，该国利用甘蔗生产酒精替代传统化石燃料，为汽车等提供绿色能源，缓解了本国能源不足问题。</w:t>
      </w:r>
    </w:p>
    <w:p w14:paraId="15B352D9">
      <w:pPr>
        <w:shd w:val="clear" w:color="auto" w:fill="auto"/>
        <w:spacing w:line="360" w:lineRule="auto"/>
        <w:ind w:firstLine="560"/>
        <w:jc w:val="left"/>
        <w:textAlignment w:val="center"/>
        <w:rPr>
          <w:sz w:val="21"/>
        </w:rPr>
      </w:pPr>
      <w:r>
        <w:rPr>
          <w:rFonts w:ascii="楷体" w:hAnsi="楷体" w:eastAsia="楷体" w:cs="楷体"/>
          <w:sz w:val="21"/>
        </w:rPr>
        <w:t>材料二：图（</w:t>
      </w:r>
      <w:r>
        <w:rPr>
          <w:sz w:val="21"/>
        </w:rPr>
        <w:t>a</w:t>
      </w:r>
      <w:r>
        <w:rPr>
          <w:rFonts w:ascii="楷体" w:hAnsi="楷体" w:eastAsia="楷体" w:cs="楷体"/>
          <w:sz w:val="21"/>
        </w:rPr>
        <w:t>）为巴西地形及矿产分布图，图（</w:t>
      </w:r>
      <w:r>
        <w:rPr>
          <w:sz w:val="21"/>
        </w:rPr>
        <w:t>b</w:t>
      </w:r>
      <w:r>
        <w:rPr>
          <w:rFonts w:ascii="楷体" w:hAnsi="楷体" w:eastAsia="楷体" w:cs="楷体"/>
          <w:sz w:val="21"/>
        </w:rPr>
        <w:t>）为巴西公路、铁路分布图。</w:t>
      </w:r>
    </w:p>
    <w:p w14:paraId="4675BC2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81475" cy="2305050"/>
            <wp:effectExtent l="0" t="0" r="9525" b="0"/>
            <wp:docPr id="100021" name="图片 100021" descr="@@@85d546d5e87942af99a9d46e2da1a0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5d546d5e87942af99a9d46e2da1a0b4"/>
                    <pic:cNvPicPr>
                      <a:picLocks noChangeAspect="1"/>
                    </pic:cNvPicPr>
                  </pic:nvPicPr>
                  <pic:blipFill>
                    <a:blip r:embed="rId18"/>
                    <a:stretch>
                      <a:fillRect/>
                    </a:stretch>
                  </pic:blipFill>
                  <pic:spPr>
                    <a:xfrm>
                      <a:off x="0" y="0"/>
                      <a:ext cx="4181475" cy="2305050"/>
                    </a:xfrm>
                    <a:prstGeom prst="rect">
                      <a:avLst/>
                    </a:prstGeom>
                  </pic:spPr>
                </pic:pic>
              </a:graphicData>
            </a:graphic>
          </wp:inline>
        </w:drawing>
      </w:r>
    </w:p>
    <w:p w14:paraId="1C51F0A9">
      <w:pPr>
        <w:shd w:val="clear" w:color="auto" w:fill="auto"/>
        <w:spacing w:line="360" w:lineRule="auto"/>
        <w:jc w:val="left"/>
        <w:textAlignment w:val="center"/>
        <w:rPr>
          <w:sz w:val="21"/>
        </w:rPr>
      </w:pPr>
      <w:r>
        <w:rPr>
          <w:sz w:val="21"/>
        </w:rPr>
        <w:t>(1)从下面两道小题中，任选一道作答。</w:t>
      </w:r>
    </w:p>
    <w:p w14:paraId="6999CC46">
      <w:pPr>
        <w:shd w:val="clear" w:color="auto" w:fill="auto"/>
        <w:spacing w:line="360" w:lineRule="auto"/>
        <w:jc w:val="left"/>
        <w:textAlignment w:val="center"/>
        <w:rPr>
          <w:sz w:val="21"/>
        </w:rPr>
      </w:pPr>
      <w:r>
        <w:rPr>
          <w:sz w:val="21"/>
        </w:rPr>
        <w:t>①描述巴西的纬度位置，并说明其影响。</w:t>
      </w:r>
    </w:p>
    <w:p w14:paraId="2C8FA642">
      <w:pPr>
        <w:shd w:val="clear" w:color="auto" w:fill="auto"/>
        <w:spacing w:line="360" w:lineRule="auto"/>
        <w:jc w:val="left"/>
        <w:textAlignment w:val="center"/>
        <w:rPr>
          <w:sz w:val="21"/>
        </w:rPr>
      </w:pPr>
      <w:r>
        <w:rPr>
          <w:sz w:val="21"/>
        </w:rPr>
        <w:t>②描述巴西的海陆位置，并说明其影响。</w:t>
      </w:r>
    </w:p>
    <w:p w14:paraId="2075A5FA">
      <w:pPr>
        <w:shd w:val="clear" w:color="auto" w:fill="auto"/>
        <w:spacing w:line="360" w:lineRule="auto"/>
        <w:jc w:val="left"/>
        <w:textAlignment w:val="center"/>
        <w:rPr>
          <w:sz w:val="21"/>
        </w:rPr>
      </w:pPr>
      <w:r>
        <w:rPr>
          <w:sz w:val="21"/>
        </w:rPr>
        <w:t>(2)完成某同学绘制的关于巴西陆路交通运输的思维导图。</w:t>
      </w:r>
    </w:p>
    <w:p w14:paraId="010C6CB6">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514850" cy="952500"/>
            <wp:effectExtent l="0" t="0" r="0" b="0"/>
            <wp:docPr id="100023" name="图片 100023" descr="@@@5734ef96e5c44254adb8d854f2057b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734ef96e5c44254adb8d854f2057bef"/>
                    <pic:cNvPicPr>
                      <a:picLocks noChangeAspect="1"/>
                    </pic:cNvPicPr>
                  </pic:nvPicPr>
                  <pic:blipFill>
                    <a:blip r:embed="rId19"/>
                    <a:stretch>
                      <a:fillRect/>
                    </a:stretch>
                  </pic:blipFill>
                  <pic:spPr>
                    <a:xfrm>
                      <a:off x="0" y="0"/>
                      <a:ext cx="4514850" cy="952500"/>
                    </a:xfrm>
                    <a:prstGeom prst="rect">
                      <a:avLst/>
                    </a:prstGeom>
                  </pic:spPr>
                </pic:pic>
              </a:graphicData>
            </a:graphic>
          </wp:inline>
        </w:drawing>
      </w:r>
    </w:p>
    <w:p w14:paraId="1525FF76">
      <w:pPr>
        <w:shd w:val="clear" w:color="auto" w:fill="auto"/>
        <w:spacing w:line="360" w:lineRule="auto"/>
        <w:jc w:val="left"/>
        <w:textAlignment w:val="center"/>
        <w:rPr>
          <w:sz w:val="21"/>
        </w:rPr>
      </w:pPr>
      <w:r>
        <w:rPr>
          <w:sz w:val="21"/>
        </w:rPr>
        <w:t>①</w:t>
      </w:r>
      <w:r>
        <w:rPr>
          <w:rFonts w:ascii="Times New Roman" w:hAnsi="Times New Roman" w:eastAsia="Times New Roman" w:cs="Times New Roman"/>
          <w:b w:val="0"/>
          <w:sz w:val="21"/>
          <w:u w:val="single"/>
        </w:rPr>
        <w:t xml:space="preserve">    </w:t>
      </w:r>
      <w:r>
        <w:rPr>
          <w:sz w:val="21"/>
        </w:rPr>
        <w:t>;②</w:t>
      </w:r>
      <w:r>
        <w:rPr>
          <w:rFonts w:ascii="Times New Roman" w:hAnsi="Times New Roman" w:eastAsia="Times New Roman" w:cs="Times New Roman"/>
          <w:b w:val="0"/>
          <w:sz w:val="21"/>
          <w:u w:val="single"/>
        </w:rPr>
        <w:t xml:space="preserve">    </w:t>
      </w:r>
      <w:r>
        <w:rPr>
          <w:sz w:val="21"/>
        </w:rPr>
        <w:t>;</w:t>
      </w:r>
    </w:p>
    <w:p w14:paraId="4C354111">
      <w:pPr>
        <w:shd w:val="clear" w:color="auto" w:fill="auto"/>
        <w:spacing w:line="360" w:lineRule="auto"/>
        <w:jc w:val="left"/>
        <w:textAlignment w:val="center"/>
        <w:rPr>
          <w:sz w:val="21"/>
        </w:rPr>
      </w:pPr>
      <w:r>
        <w:rPr>
          <w:sz w:val="21"/>
        </w:rPr>
        <w:t>(3)简述巴西发展工业的有利和不利条件。</w:t>
      </w:r>
    </w:p>
    <w:p w14:paraId="73278A8A">
      <w:pPr>
        <w:shd w:val="clear" w:color="auto" w:fill="auto"/>
        <w:spacing w:line="360" w:lineRule="auto"/>
        <w:jc w:val="left"/>
        <w:textAlignment w:val="center"/>
        <w:rPr>
          <w:sz w:val="21"/>
        </w:rPr>
      </w:pPr>
      <w:r>
        <w:rPr>
          <w:sz w:val="21"/>
        </w:rPr>
        <w:t>(4)你是否赞同巴西大力发展酒精燃料，表明你的观点并说出理由。</w:t>
      </w:r>
    </w:p>
    <w:p w14:paraId="020626A2">
      <w:pPr>
        <w:shd w:val="clear" w:color="auto" w:fill="auto"/>
        <w:spacing w:line="360" w:lineRule="auto"/>
        <w:jc w:val="left"/>
        <w:textAlignment w:val="center"/>
        <w:rPr>
          <w:sz w:val="21"/>
        </w:rPr>
      </w:pPr>
      <w:r>
        <w:rPr>
          <w:sz w:val="21"/>
        </w:rPr>
        <w:t>23．【地理探究】在2024年我国前10强民营企业中，杭州和深圳各有3家企业入围。在“谁是我国民营企业第一城”的讨论中，杭州和深圳呼声最高。据此完成下列问题。</w:t>
      </w:r>
    </w:p>
    <w:p w14:paraId="70DFFC5A">
      <w:pPr>
        <w:shd w:val="clear" w:color="auto" w:fill="auto"/>
        <w:spacing w:line="360" w:lineRule="auto"/>
        <w:ind w:firstLine="560"/>
        <w:jc w:val="left"/>
        <w:textAlignment w:val="center"/>
        <w:rPr>
          <w:sz w:val="21"/>
        </w:rPr>
      </w:pPr>
      <w:r>
        <w:rPr>
          <w:rFonts w:ascii="楷体" w:hAnsi="楷体" w:eastAsia="楷体" w:cs="楷体"/>
          <w:sz w:val="21"/>
        </w:rPr>
        <w:t>探究一：杭州、深圳民营企业行业比较</w:t>
      </w:r>
    </w:p>
    <w:p w14:paraId="4FBCE0EC">
      <w:pPr>
        <w:shd w:val="clear" w:color="auto" w:fill="auto"/>
        <w:spacing w:line="360" w:lineRule="auto"/>
        <w:ind w:firstLine="560"/>
        <w:jc w:val="left"/>
        <w:textAlignment w:val="center"/>
        <w:rPr>
          <w:sz w:val="21"/>
        </w:rPr>
      </w:pPr>
      <w:r>
        <w:rPr>
          <w:rFonts w:ascii="楷体" w:hAnsi="楷体" w:eastAsia="楷体" w:cs="楷体"/>
          <w:sz w:val="21"/>
        </w:rPr>
        <w:t>表1</w:t>
      </w:r>
      <w:r>
        <w:rPr>
          <w:sz w:val="21"/>
        </w:rPr>
        <w:t>2024</w:t>
      </w:r>
      <w:r>
        <w:rPr>
          <w:rFonts w:ascii="楷体" w:hAnsi="楷体" w:eastAsia="楷体" w:cs="楷体"/>
          <w:sz w:val="21"/>
        </w:rPr>
        <w:t>年杭州、深圳民营企业前三强所在行业比较</w:t>
      </w:r>
    </w:p>
    <w:tbl>
      <w:tblPr>
        <w:tblStyle w:val="4"/>
        <w:tblW w:w="64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7"/>
        <w:gridCol w:w="1007"/>
        <w:gridCol w:w="1639"/>
        <w:gridCol w:w="1007"/>
        <w:gridCol w:w="2060"/>
      </w:tblGrid>
      <w:tr w14:paraId="4DA35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45379">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序号</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E35B7">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杭州</w:t>
            </w:r>
          </w:p>
          <w:p w14:paraId="40F22D3D">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企业</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8BC99">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所在行业</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8DF18">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深圳</w:t>
            </w:r>
          </w:p>
          <w:p w14:paraId="323932D4">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企业</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C1883F">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所在行业</w:t>
            </w:r>
          </w:p>
        </w:tc>
      </w:tr>
      <w:tr w14:paraId="6BA2F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843AF">
            <w:pPr>
              <w:shd w:val="clear" w:color="auto" w:fill="auto"/>
              <w:spacing w:line="360" w:lineRule="auto"/>
              <w:jc w:val="left"/>
              <w:textAlignment w:val="center"/>
              <w:rPr>
                <w:sz w:val="21"/>
              </w:rPr>
            </w:pPr>
            <w:r>
              <w:rPr>
                <w:sz w:val="21"/>
              </w:rPr>
              <w:t>1</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D17A9">
            <w:pPr>
              <w:shd w:val="clear" w:color="auto" w:fill="auto"/>
              <w:spacing w:line="360" w:lineRule="auto"/>
              <w:jc w:val="left"/>
              <w:textAlignment w:val="center"/>
              <w:rPr>
                <w:sz w:val="21"/>
              </w:rPr>
            </w:pPr>
            <w:r>
              <w:rPr>
                <w:sz w:val="21"/>
              </w:rPr>
              <w:t>A</w:t>
            </w:r>
            <w:r>
              <w:rPr>
                <w:rFonts w:ascii="楷体" w:hAnsi="楷体" w:eastAsia="楷体" w:cs="楷体"/>
                <w:sz w:val="21"/>
              </w:rPr>
              <w:t>集团</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93806C">
            <w:pPr>
              <w:shd w:val="clear" w:color="auto" w:fill="auto"/>
              <w:spacing w:line="360" w:lineRule="auto"/>
              <w:jc w:val="left"/>
              <w:textAlignment w:val="center"/>
              <w:rPr>
                <w:sz w:val="21"/>
              </w:rPr>
            </w:pPr>
            <w:r>
              <w:rPr>
                <w:rFonts w:ascii="楷体" w:hAnsi="楷体" w:eastAsia="楷体" w:cs="楷体"/>
                <w:sz w:val="21"/>
              </w:rPr>
              <w:t>互联网科技</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98BE8">
            <w:pPr>
              <w:shd w:val="clear" w:color="auto" w:fill="auto"/>
              <w:spacing w:line="360" w:lineRule="auto"/>
              <w:jc w:val="left"/>
              <w:textAlignment w:val="center"/>
              <w:rPr>
                <w:sz w:val="21"/>
              </w:rPr>
            </w:pPr>
            <w:r>
              <w:rPr>
                <w:sz w:val="21"/>
              </w:rPr>
              <w:t>H</w:t>
            </w:r>
            <w:r>
              <w:rPr>
                <w:rFonts w:ascii="楷体" w:hAnsi="楷体" w:eastAsia="楷体" w:cs="楷体"/>
                <w:sz w:val="21"/>
              </w:rPr>
              <w:t>公司</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3827EE">
            <w:pPr>
              <w:shd w:val="clear" w:color="auto" w:fill="auto"/>
              <w:spacing w:line="360" w:lineRule="auto"/>
              <w:jc w:val="left"/>
              <w:textAlignment w:val="center"/>
              <w:rPr>
                <w:sz w:val="21"/>
              </w:rPr>
            </w:pPr>
            <w:r>
              <w:rPr>
                <w:rFonts w:ascii="楷体" w:hAnsi="楷体" w:eastAsia="楷体" w:cs="楷体"/>
                <w:sz w:val="21"/>
              </w:rPr>
              <w:t>通讯设备、消费电子</w:t>
            </w:r>
          </w:p>
        </w:tc>
      </w:tr>
      <w:tr w14:paraId="50BBC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FC95BE">
            <w:pPr>
              <w:shd w:val="clear" w:color="auto" w:fill="auto"/>
              <w:spacing w:line="360" w:lineRule="auto"/>
              <w:jc w:val="left"/>
              <w:textAlignment w:val="center"/>
              <w:rPr>
                <w:sz w:val="21"/>
              </w:rPr>
            </w:pPr>
            <w:r>
              <w:rPr>
                <w:sz w:val="21"/>
              </w:rPr>
              <w:t>2</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2F0103">
            <w:pPr>
              <w:shd w:val="clear" w:color="auto" w:fill="auto"/>
              <w:spacing w:line="360" w:lineRule="auto"/>
              <w:jc w:val="left"/>
              <w:textAlignment w:val="center"/>
              <w:rPr>
                <w:sz w:val="21"/>
              </w:rPr>
            </w:pPr>
            <w:r>
              <w:rPr>
                <w:sz w:val="21"/>
              </w:rPr>
              <w:t>R</w:t>
            </w:r>
            <w:r>
              <w:rPr>
                <w:rFonts w:ascii="楷体" w:hAnsi="楷体" w:eastAsia="楷体" w:cs="楷体"/>
                <w:sz w:val="21"/>
              </w:rPr>
              <w:t>控股</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B7613">
            <w:pPr>
              <w:shd w:val="clear" w:color="auto" w:fill="auto"/>
              <w:spacing w:line="360" w:lineRule="auto"/>
              <w:jc w:val="left"/>
              <w:textAlignment w:val="center"/>
              <w:rPr>
                <w:sz w:val="21"/>
              </w:rPr>
            </w:pPr>
            <w:r>
              <w:rPr>
                <w:rFonts w:ascii="楷体" w:hAnsi="楷体" w:eastAsia="楷体" w:cs="楷体"/>
                <w:sz w:val="21"/>
              </w:rPr>
              <w:t>石化、房地产</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FE5FF">
            <w:pPr>
              <w:shd w:val="clear" w:color="auto" w:fill="auto"/>
              <w:spacing w:line="360" w:lineRule="auto"/>
              <w:jc w:val="left"/>
              <w:textAlignment w:val="center"/>
              <w:rPr>
                <w:sz w:val="21"/>
              </w:rPr>
            </w:pPr>
            <w:r>
              <w:rPr>
                <w:sz w:val="21"/>
              </w:rPr>
              <w:t>T</w:t>
            </w:r>
            <w:r>
              <w:rPr>
                <w:rFonts w:ascii="楷体" w:hAnsi="楷体" w:eastAsia="楷体" w:cs="楷体"/>
                <w:sz w:val="21"/>
              </w:rPr>
              <w:t>公司</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85963E">
            <w:pPr>
              <w:shd w:val="clear" w:color="auto" w:fill="auto"/>
              <w:spacing w:line="360" w:lineRule="auto"/>
              <w:jc w:val="left"/>
              <w:textAlignment w:val="center"/>
              <w:rPr>
                <w:sz w:val="21"/>
              </w:rPr>
            </w:pPr>
            <w:r>
              <w:rPr>
                <w:rFonts w:ascii="楷体" w:hAnsi="楷体" w:eastAsia="楷体" w:cs="楷体"/>
                <w:sz w:val="21"/>
              </w:rPr>
              <w:t>互联网科技</w:t>
            </w:r>
          </w:p>
        </w:tc>
      </w:tr>
      <w:tr w14:paraId="6CBD0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269E9">
            <w:pPr>
              <w:shd w:val="clear" w:color="auto" w:fill="auto"/>
              <w:spacing w:line="360" w:lineRule="auto"/>
              <w:jc w:val="left"/>
              <w:textAlignment w:val="center"/>
              <w:rPr>
                <w:sz w:val="21"/>
              </w:rPr>
            </w:pPr>
            <w:r>
              <w:rPr>
                <w:sz w:val="21"/>
              </w:rPr>
              <w:t>3</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8C1340">
            <w:pPr>
              <w:shd w:val="clear" w:color="auto" w:fill="auto"/>
              <w:spacing w:line="360" w:lineRule="auto"/>
              <w:jc w:val="left"/>
              <w:textAlignment w:val="center"/>
              <w:rPr>
                <w:sz w:val="21"/>
              </w:rPr>
            </w:pPr>
            <w:r>
              <w:rPr>
                <w:sz w:val="21"/>
              </w:rPr>
              <w:t>J</w:t>
            </w:r>
            <w:r>
              <w:rPr>
                <w:rFonts w:ascii="楷体" w:hAnsi="楷体" w:eastAsia="楷体" w:cs="楷体"/>
                <w:sz w:val="21"/>
              </w:rPr>
              <w:t>控股</w:t>
            </w:r>
          </w:p>
        </w:tc>
        <w:tc>
          <w:tcPr>
            <w:tcW w:w="16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28D70">
            <w:pPr>
              <w:shd w:val="clear" w:color="auto" w:fill="auto"/>
              <w:spacing w:line="360" w:lineRule="auto"/>
              <w:jc w:val="left"/>
              <w:textAlignment w:val="center"/>
              <w:rPr>
                <w:sz w:val="21"/>
              </w:rPr>
            </w:pPr>
            <w:r>
              <w:rPr>
                <w:rFonts w:ascii="楷体" w:hAnsi="楷体" w:eastAsia="楷体" w:cs="楷体"/>
                <w:sz w:val="21"/>
              </w:rPr>
              <w:t>汽车制造、出行</w:t>
            </w:r>
          </w:p>
        </w:tc>
        <w:tc>
          <w:tcPr>
            <w:tcW w:w="10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8BD7E4">
            <w:pPr>
              <w:shd w:val="clear" w:color="auto" w:fill="auto"/>
              <w:spacing w:line="360" w:lineRule="auto"/>
              <w:jc w:val="left"/>
              <w:textAlignment w:val="center"/>
              <w:rPr>
                <w:sz w:val="21"/>
              </w:rPr>
            </w:pPr>
            <w:r>
              <w:rPr>
                <w:sz w:val="21"/>
              </w:rPr>
              <w:t>B</w:t>
            </w:r>
            <w:r>
              <w:rPr>
                <w:rFonts w:ascii="楷体" w:hAnsi="楷体" w:eastAsia="楷体" w:cs="楷体"/>
                <w:sz w:val="21"/>
              </w:rPr>
              <w:t>集团</w:t>
            </w:r>
          </w:p>
        </w:tc>
        <w:tc>
          <w:tcPr>
            <w:tcW w:w="20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A454D">
            <w:pPr>
              <w:shd w:val="clear" w:color="auto" w:fill="auto"/>
              <w:spacing w:line="360" w:lineRule="auto"/>
              <w:jc w:val="left"/>
              <w:textAlignment w:val="center"/>
              <w:rPr>
                <w:sz w:val="21"/>
              </w:rPr>
            </w:pPr>
            <w:r>
              <w:rPr>
                <w:rFonts w:ascii="楷体" w:hAnsi="楷体" w:eastAsia="楷体" w:cs="楷体"/>
                <w:sz w:val="21"/>
              </w:rPr>
              <w:t>汽车制造</w:t>
            </w:r>
          </w:p>
        </w:tc>
      </w:tr>
    </w:tbl>
    <w:p w14:paraId="70045409">
      <w:pPr>
        <w:shd w:val="clear" w:color="auto" w:fill="auto"/>
        <w:spacing w:line="360" w:lineRule="auto"/>
        <w:jc w:val="left"/>
        <w:textAlignment w:val="center"/>
        <w:rPr>
          <w:sz w:val="21"/>
        </w:rPr>
      </w:pPr>
      <w:r>
        <w:rPr>
          <w:sz w:val="21"/>
        </w:rPr>
        <w:t>(1)读表1，列举杭州与深圳民营企业的相同行业。</w:t>
      </w:r>
    </w:p>
    <w:p w14:paraId="038D00D8">
      <w:pPr>
        <w:shd w:val="clear" w:color="auto" w:fill="auto"/>
        <w:spacing w:line="360" w:lineRule="auto"/>
        <w:ind w:firstLine="560"/>
        <w:jc w:val="left"/>
        <w:textAlignment w:val="center"/>
        <w:rPr>
          <w:sz w:val="21"/>
        </w:rPr>
      </w:pPr>
      <w:r>
        <w:rPr>
          <w:rFonts w:ascii="楷体" w:hAnsi="楷体" w:eastAsia="楷体" w:cs="楷体"/>
          <w:sz w:val="21"/>
        </w:rPr>
        <w:t>探究二：杭州民营企业发展情况</w:t>
      </w:r>
    </w:p>
    <w:p w14:paraId="3527EA3E">
      <w:pPr>
        <w:shd w:val="clear" w:color="auto" w:fill="auto"/>
        <w:spacing w:line="360" w:lineRule="auto"/>
        <w:ind w:firstLine="560"/>
        <w:jc w:val="left"/>
        <w:textAlignment w:val="center"/>
        <w:rPr>
          <w:sz w:val="21"/>
        </w:rPr>
      </w:pPr>
      <w:r>
        <w:rPr>
          <w:sz w:val="21"/>
        </w:rPr>
        <w:t>2024</w:t>
      </w:r>
      <w:r>
        <w:rPr>
          <w:rFonts w:ascii="楷体" w:hAnsi="楷体" w:eastAsia="楷体" w:cs="楷体"/>
          <w:sz w:val="21"/>
        </w:rPr>
        <w:t>年以来，杭州六小龙企业（涉及人工智能、机器人、脑机接口等行业的六家民营企业）因技术卓越而爆火。同学们想了解杭州民营企业的详细情况和发展迅速的原因，需要搜集地图等各类相关资料。</w:t>
      </w:r>
    </w:p>
    <w:p w14:paraId="150D4B9B">
      <w:pPr>
        <w:shd w:val="clear" w:color="auto" w:fill="auto"/>
        <w:spacing w:line="360" w:lineRule="auto"/>
        <w:jc w:val="left"/>
        <w:textAlignment w:val="center"/>
        <w:rPr>
          <w:sz w:val="21"/>
        </w:rPr>
      </w:pPr>
      <w:r>
        <w:rPr>
          <w:sz w:val="21"/>
        </w:rPr>
        <w:t>(2)说出搜集这些资料的方法或途径。</w:t>
      </w:r>
    </w:p>
    <w:p w14:paraId="3A96B1FD">
      <w:pPr>
        <w:shd w:val="clear" w:color="auto" w:fill="auto"/>
        <w:spacing w:line="360" w:lineRule="auto"/>
        <w:ind w:firstLine="560"/>
        <w:jc w:val="left"/>
        <w:textAlignment w:val="center"/>
        <w:rPr>
          <w:sz w:val="21"/>
        </w:rPr>
      </w:pPr>
      <w:r>
        <w:rPr>
          <w:rFonts w:ascii="楷体" w:hAnsi="楷体" w:eastAsia="楷体" w:cs="楷体"/>
          <w:sz w:val="21"/>
        </w:rPr>
        <w:t>探究三：深圳民营企业发展条件</w:t>
      </w:r>
    </w:p>
    <w:p w14:paraId="536E1A36">
      <w:pPr>
        <w:shd w:val="clear" w:color="auto" w:fill="auto"/>
        <w:spacing w:line="360" w:lineRule="auto"/>
        <w:ind w:firstLine="560"/>
        <w:jc w:val="left"/>
        <w:textAlignment w:val="center"/>
        <w:rPr>
          <w:sz w:val="21"/>
        </w:rPr>
      </w:pPr>
      <w:r>
        <w:rPr>
          <w:rFonts w:ascii="楷体" w:hAnsi="楷体" w:eastAsia="楷体" w:cs="楷体"/>
          <w:sz w:val="21"/>
        </w:rPr>
        <w:t>深圳是我国首个经济特区，有龙头民营企业带动，多家民营科技企业、科研单位推动技术转化，政府通过金融手段为企业提供发展资金与创新保障，已形成完整的新能源汽车产业链。</w:t>
      </w:r>
    </w:p>
    <w:p w14:paraId="231AF1B6">
      <w:pPr>
        <w:shd w:val="clear" w:color="auto" w:fill="auto"/>
        <w:spacing w:line="360" w:lineRule="auto"/>
        <w:jc w:val="left"/>
        <w:textAlignment w:val="center"/>
        <w:rPr>
          <w:sz w:val="21"/>
        </w:rPr>
      </w:pPr>
      <w:r>
        <w:rPr>
          <w:sz w:val="21"/>
        </w:rPr>
        <w:t>(3)结合深圳位置示意图（如图），分析深圳发展新能源汽车产业的优势条件。</w:t>
      </w:r>
    </w:p>
    <w:p w14:paraId="25AA0B5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24125" cy="2162175"/>
            <wp:effectExtent l="0" t="0" r="9525" b="9525"/>
            <wp:docPr id="100025" name="图片 100025" descr="@@@a9b62b83-74a9-4739-a66e-f86c371ef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a9b62b83-74a9-4739-a66e-f86c371ef958"/>
                    <pic:cNvPicPr>
                      <a:picLocks noChangeAspect="1"/>
                    </pic:cNvPicPr>
                  </pic:nvPicPr>
                  <pic:blipFill>
                    <a:blip r:embed="rId20"/>
                    <a:stretch>
                      <a:fillRect/>
                    </a:stretch>
                  </pic:blipFill>
                  <pic:spPr>
                    <a:xfrm>
                      <a:off x="0" y="0"/>
                      <a:ext cx="2524125" cy="2162175"/>
                    </a:xfrm>
                    <a:prstGeom prst="rect">
                      <a:avLst/>
                    </a:prstGeom>
                  </pic:spPr>
                </pic:pic>
              </a:graphicData>
            </a:graphic>
          </wp:inline>
        </w:drawing>
      </w:r>
    </w:p>
    <w:p w14:paraId="165E4049">
      <w:pPr>
        <w:shd w:val="clear" w:color="auto" w:fill="auto"/>
        <w:spacing w:line="360" w:lineRule="auto"/>
        <w:ind w:firstLine="560"/>
        <w:jc w:val="left"/>
        <w:textAlignment w:val="center"/>
        <w:rPr>
          <w:sz w:val="21"/>
        </w:rPr>
      </w:pPr>
      <w:r>
        <w:rPr>
          <w:rFonts w:ascii="楷体" w:hAnsi="楷体" w:eastAsia="楷体" w:cs="楷体"/>
          <w:sz w:val="21"/>
        </w:rPr>
        <w:t>探究四：谁是我国民营企业第一城</w:t>
      </w:r>
    </w:p>
    <w:p w14:paraId="5344A833">
      <w:pPr>
        <w:shd w:val="clear" w:color="auto" w:fill="auto"/>
        <w:spacing w:line="360" w:lineRule="auto"/>
        <w:ind w:firstLine="560"/>
        <w:jc w:val="left"/>
        <w:textAlignment w:val="center"/>
        <w:rPr>
          <w:sz w:val="21"/>
        </w:rPr>
      </w:pPr>
      <w:r>
        <w:rPr>
          <w:rFonts w:ascii="楷体" w:hAnsi="楷体" w:eastAsia="楷体" w:cs="楷体"/>
          <w:sz w:val="21"/>
        </w:rPr>
        <w:t>表2近三年杭州与深圳民营经济部分数据对比</w:t>
      </w:r>
    </w:p>
    <w:tbl>
      <w:tblPr>
        <w:tblStyle w:val="4"/>
        <w:tblW w:w="65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38"/>
        <w:gridCol w:w="1368"/>
        <w:gridCol w:w="1579"/>
      </w:tblGrid>
      <w:tr w14:paraId="367F3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D2A4B">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类别</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C1BAE3">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杭州</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43BA5B">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深圳</w:t>
            </w:r>
          </w:p>
        </w:tc>
      </w:tr>
      <w:tr w14:paraId="4797D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D7774E">
            <w:pPr>
              <w:shd w:val="clear" w:color="auto" w:fill="auto"/>
              <w:spacing w:line="360" w:lineRule="auto"/>
              <w:jc w:val="left"/>
              <w:textAlignment w:val="center"/>
              <w:rPr>
                <w:sz w:val="21"/>
              </w:rPr>
            </w:pPr>
            <w:r>
              <w:rPr>
                <w:rFonts w:ascii="楷体" w:hAnsi="楷体" w:eastAsia="楷体" w:cs="楷体"/>
                <w:sz w:val="21"/>
              </w:rPr>
              <w:t>民营企业数量（万家）</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E256DE">
            <w:pPr>
              <w:shd w:val="clear" w:color="auto" w:fill="auto"/>
              <w:spacing w:line="360" w:lineRule="auto"/>
              <w:jc w:val="left"/>
              <w:textAlignment w:val="center"/>
              <w:rPr>
                <w:sz w:val="21"/>
              </w:rPr>
            </w:pPr>
            <w:r>
              <w:rPr>
                <w:sz w:val="21"/>
              </w:rPr>
              <w:t>87.0</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59DEA">
            <w:pPr>
              <w:shd w:val="clear" w:color="auto" w:fill="auto"/>
              <w:spacing w:line="360" w:lineRule="auto"/>
              <w:jc w:val="left"/>
              <w:textAlignment w:val="center"/>
              <w:rPr>
                <w:sz w:val="21"/>
              </w:rPr>
            </w:pPr>
            <w:r>
              <w:rPr>
                <w:sz w:val="21"/>
              </w:rPr>
              <w:t>237.9</w:t>
            </w:r>
          </w:p>
        </w:tc>
      </w:tr>
      <w:tr w14:paraId="06F01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490DB2">
            <w:pPr>
              <w:shd w:val="clear" w:color="auto" w:fill="auto"/>
              <w:spacing w:line="360" w:lineRule="auto"/>
              <w:jc w:val="left"/>
              <w:textAlignment w:val="center"/>
              <w:rPr>
                <w:sz w:val="21"/>
              </w:rPr>
            </w:pPr>
            <w:r>
              <w:rPr>
                <w:rFonts w:ascii="楷体" w:hAnsi="楷体" w:eastAsia="楷体" w:cs="楷体"/>
                <w:sz w:val="21"/>
              </w:rPr>
              <w:t>入围全国民营企业</w:t>
            </w:r>
            <w:r>
              <w:rPr>
                <w:sz w:val="21"/>
              </w:rPr>
              <w:t>500</w:t>
            </w:r>
            <w:r>
              <w:rPr>
                <w:rFonts w:ascii="楷体" w:hAnsi="楷体" w:eastAsia="楷体" w:cs="楷体"/>
                <w:sz w:val="21"/>
              </w:rPr>
              <w:t>强数量（家）</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68EA8">
            <w:pPr>
              <w:shd w:val="clear" w:color="auto" w:fill="auto"/>
              <w:spacing w:line="360" w:lineRule="auto"/>
              <w:jc w:val="left"/>
              <w:textAlignment w:val="center"/>
              <w:rPr>
                <w:sz w:val="21"/>
              </w:rPr>
            </w:pPr>
            <w:r>
              <w:rPr>
                <w:sz w:val="21"/>
              </w:rPr>
              <w:t>36</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CA9487">
            <w:pPr>
              <w:shd w:val="clear" w:color="auto" w:fill="auto"/>
              <w:spacing w:line="360" w:lineRule="auto"/>
              <w:jc w:val="left"/>
              <w:textAlignment w:val="center"/>
              <w:rPr>
                <w:sz w:val="21"/>
              </w:rPr>
            </w:pPr>
            <w:r>
              <w:rPr>
                <w:sz w:val="21"/>
              </w:rPr>
              <w:t>27</w:t>
            </w:r>
          </w:p>
        </w:tc>
      </w:tr>
      <w:tr w14:paraId="73669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3F804">
            <w:pPr>
              <w:shd w:val="clear" w:color="auto" w:fill="auto"/>
              <w:spacing w:line="360" w:lineRule="auto"/>
              <w:jc w:val="left"/>
              <w:textAlignment w:val="center"/>
              <w:rPr>
                <w:sz w:val="21"/>
              </w:rPr>
            </w:pPr>
            <w:r>
              <w:rPr>
                <w:rFonts w:ascii="楷体" w:hAnsi="楷体" w:eastAsia="楷体" w:cs="楷体"/>
                <w:sz w:val="21"/>
              </w:rPr>
              <w:t>全国民营企业创新能力指数排名</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F5423">
            <w:pPr>
              <w:shd w:val="clear" w:color="auto" w:fill="auto"/>
              <w:spacing w:line="360" w:lineRule="auto"/>
              <w:jc w:val="left"/>
              <w:textAlignment w:val="center"/>
              <w:rPr>
                <w:sz w:val="21"/>
              </w:rPr>
            </w:pPr>
            <w:r>
              <w:rPr>
                <w:sz w:val="21"/>
              </w:rPr>
              <w:t>4</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DEAEA9">
            <w:pPr>
              <w:shd w:val="clear" w:color="auto" w:fill="auto"/>
              <w:spacing w:line="360" w:lineRule="auto"/>
              <w:jc w:val="left"/>
              <w:textAlignment w:val="center"/>
              <w:rPr>
                <w:sz w:val="21"/>
              </w:rPr>
            </w:pPr>
            <w:r>
              <w:rPr>
                <w:sz w:val="21"/>
              </w:rPr>
              <w:t>3</w:t>
            </w:r>
          </w:p>
        </w:tc>
      </w:tr>
      <w:tr w14:paraId="30EE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3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5E03AA">
            <w:pPr>
              <w:shd w:val="clear" w:color="auto" w:fill="auto"/>
              <w:spacing w:line="360" w:lineRule="auto"/>
              <w:jc w:val="left"/>
              <w:textAlignment w:val="center"/>
              <w:rPr>
                <w:sz w:val="21"/>
              </w:rPr>
            </w:pPr>
            <w:r>
              <w:rPr>
                <w:rFonts w:ascii="楷体" w:hAnsi="楷体" w:eastAsia="楷体" w:cs="楷体"/>
                <w:sz w:val="21"/>
              </w:rPr>
              <w:t>民营企业外贸额占比（</w:t>
            </w:r>
            <w:r>
              <w:rPr>
                <w:sz w:val="21"/>
              </w:rPr>
              <w:t>%</w:t>
            </w:r>
            <w:r>
              <w:rPr>
                <w:rFonts w:ascii="楷体" w:hAnsi="楷体" w:eastAsia="楷体" w:cs="楷体"/>
                <w:sz w:val="21"/>
              </w:rPr>
              <w:t>）</w:t>
            </w:r>
          </w:p>
        </w:tc>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521F32">
            <w:pPr>
              <w:shd w:val="clear" w:color="auto" w:fill="auto"/>
              <w:spacing w:line="360" w:lineRule="auto"/>
              <w:jc w:val="left"/>
              <w:textAlignment w:val="center"/>
              <w:rPr>
                <w:sz w:val="21"/>
              </w:rPr>
            </w:pPr>
            <w:r>
              <w:rPr>
                <w:sz w:val="21"/>
              </w:rPr>
              <w:t>75.8</w:t>
            </w:r>
            <w:r>
              <w:rPr>
                <w:rFonts w:ascii="楷体" w:hAnsi="楷体" w:eastAsia="楷体" w:cs="楷体"/>
                <w:sz w:val="21"/>
              </w:rPr>
              <w:t>（出口）</w:t>
            </w:r>
          </w:p>
        </w:tc>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41720">
            <w:pPr>
              <w:shd w:val="clear" w:color="auto" w:fill="auto"/>
              <w:spacing w:line="360" w:lineRule="auto"/>
              <w:jc w:val="left"/>
              <w:textAlignment w:val="center"/>
              <w:rPr>
                <w:sz w:val="21"/>
              </w:rPr>
            </w:pPr>
            <w:r>
              <w:rPr>
                <w:sz w:val="21"/>
              </w:rPr>
              <w:t>65.7</w:t>
            </w:r>
            <w:r>
              <w:rPr>
                <w:rFonts w:ascii="楷体" w:hAnsi="楷体" w:eastAsia="楷体" w:cs="楷体"/>
                <w:sz w:val="21"/>
              </w:rPr>
              <w:t>（进出口）</w:t>
            </w:r>
          </w:p>
        </w:tc>
      </w:tr>
    </w:tbl>
    <w:p w14:paraId="6594B86E">
      <w:pPr>
        <w:shd w:val="clear" w:color="auto" w:fill="auto"/>
        <w:spacing w:line="360" w:lineRule="auto"/>
        <w:jc w:val="left"/>
        <w:textAlignment w:val="center"/>
        <w:rPr>
          <w:sz w:val="21"/>
        </w:rPr>
      </w:pPr>
      <w:r>
        <w:rPr>
          <w:sz w:val="21"/>
        </w:rPr>
        <w:t>(4)结合表2，你认为谁是民营企业第一城，表明你的观点并说出理由。</w:t>
      </w:r>
    </w:p>
    <w:p w14:paraId="281E5EDE">
      <w:pPr>
        <w:shd w:val="clear" w:color="auto" w:fill="auto"/>
        <w:spacing w:line="360" w:lineRule="auto"/>
        <w:jc w:val="left"/>
        <w:textAlignment w:val="center"/>
        <w:rPr>
          <w:sz w:val="21"/>
        </w:rPr>
      </w:pPr>
      <w:r>
        <w:rPr>
          <w:sz w:val="21"/>
        </w:rPr>
        <w:t>24．【地理研学】近年来，陕西省通过系列措施，构建幸福河湖体系，不仅保障了水安全与生态安全，更推动了区域经济高质量发展。陕西某中学地理社团，在全省范围内开展了主题为“幸福河湖陕西样板”的研学活动。以下是他们在活动中收集到的相关资料和现场拍摄的照片。据此完成下列问题。</w:t>
      </w:r>
    </w:p>
    <w:p w14:paraId="1C3D6C89">
      <w:pPr>
        <w:shd w:val="clear" w:color="auto" w:fill="auto"/>
        <w:spacing w:line="360" w:lineRule="auto"/>
        <w:ind w:firstLine="560"/>
        <w:jc w:val="left"/>
        <w:textAlignment w:val="center"/>
        <w:rPr>
          <w:sz w:val="21"/>
        </w:rPr>
      </w:pPr>
      <w:r>
        <w:rPr>
          <w:rFonts w:ascii="楷体" w:hAnsi="楷体" w:eastAsia="楷体" w:cs="楷体"/>
          <w:sz w:val="21"/>
        </w:rPr>
        <w:t>任务</w:t>
      </w:r>
      <w:r>
        <w:rPr>
          <w:sz w:val="21"/>
        </w:rPr>
        <w:t>1</w:t>
      </w:r>
      <w:r>
        <w:rPr>
          <w:rFonts w:ascii="楷体" w:hAnsi="楷体" w:eastAsia="楷体" w:cs="楷体"/>
          <w:sz w:val="21"/>
        </w:rPr>
        <w:t>：了解陕西河湖概况</w:t>
      </w:r>
    </w:p>
    <w:p w14:paraId="6E5F9A5B">
      <w:pPr>
        <w:shd w:val="clear" w:color="auto" w:fill="auto"/>
        <w:spacing w:line="360" w:lineRule="auto"/>
        <w:jc w:val="left"/>
        <w:textAlignment w:val="center"/>
        <w:rPr>
          <w:sz w:val="21"/>
        </w:rPr>
      </w:pPr>
      <w:r>
        <w:rPr>
          <w:sz w:val="21"/>
        </w:rPr>
        <w:t>(1)如图为同学们收集的陕西省水系分布图，从中选择一条河流，描述其分布情况，说出其可能产生的自然灾害。</w:t>
      </w:r>
    </w:p>
    <w:p w14:paraId="7231E04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86000" cy="2476500"/>
            <wp:effectExtent l="0" t="0" r="0" b="0"/>
            <wp:docPr id="100027" name="图片 100027" descr="@@@9078e5cd-41c4-4e1f-8a8d-3d8f1ba8c1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9078e5cd-41c4-4e1f-8a8d-3d8f1ba8c1ee"/>
                    <pic:cNvPicPr>
                      <a:picLocks noChangeAspect="1"/>
                    </pic:cNvPicPr>
                  </pic:nvPicPr>
                  <pic:blipFill>
                    <a:blip r:embed="rId21"/>
                    <a:stretch>
                      <a:fillRect/>
                    </a:stretch>
                  </pic:blipFill>
                  <pic:spPr>
                    <a:xfrm>
                      <a:off x="0" y="0"/>
                      <a:ext cx="2286000" cy="2476500"/>
                    </a:xfrm>
                    <a:prstGeom prst="rect">
                      <a:avLst/>
                    </a:prstGeom>
                  </pic:spPr>
                </pic:pic>
              </a:graphicData>
            </a:graphic>
          </wp:inline>
        </w:drawing>
      </w:r>
    </w:p>
    <w:p w14:paraId="0CEF85E8">
      <w:pPr>
        <w:shd w:val="clear" w:color="auto" w:fill="auto"/>
        <w:spacing w:line="360" w:lineRule="auto"/>
        <w:ind w:firstLine="560"/>
        <w:jc w:val="left"/>
        <w:textAlignment w:val="center"/>
        <w:rPr>
          <w:sz w:val="21"/>
        </w:rPr>
      </w:pPr>
      <w:r>
        <w:rPr>
          <w:rFonts w:ascii="楷体" w:hAnsi="楷体" w:eastAsia="楷体" w:cs="楷体"/>
          <w:sz w:val="21"/>
        </w:rPr>
        <w:t>任务</w:t>
      </w:r>
      <w:r>
        <w:rPr>
          <w:sz w:val="21"/>
        </w:rPr>
        <w:t>2</w:t>
      </w:r>
      <w:r>
        <w:rPr>
          <w:rFonts w:ascii="楷体" w:hAnsi="楷体" w:eastAsia="楷体" w:cs="楷体"/>
          <w:sz w:val="21"/>
        </w:rPr>
        <w:t>：了解陕西构建幸福河湖体系的措施</w:t>
      </w:r>
    </w:p>
    <w:p w14:paraId="32DB61A8">
      <w:pPr>
        <w:shd w:val="clear" w:color="auto" w:fill="auto"/>
        <w:spacing w:line="360" w:lineRule="auto"/>
        <w:ind w:firstLine="560"/>
        <w:jc w:val="left"/>
        <w:textAlignment w:val="center"/>
        <w:rPr>
          <w:sz w:val="21"/>
        </w:rPr>
      </w:pPr>
      <w:r>
        <w:rPr>
          <w:rFonts w:ascii="楷体" w:hAnsi="楷体" w:eastAsia="楷体" w:cs="楷体"/>
          <w:sz w:val="21"/>
        </w:rPr>
        <w:t>政策创新构建了省、市、县、乡、村五级河湖长组织体系，动态监测河湖健康，强化跨区域河湖联防联控机制；创新“河湖长</w:t>
      </w:r>
      <w:r>
        <w:rPr>
          <w:sz w:val="21"/>
        </w:rPr>
        <w:t>+</w:t>
      </w:r>
      <w:r>
        <w:rPr>
          <w:rFonts w:ascii="楷体" w:hAnsi="楷体" w:eastAsia="楷体" w:cs="楷体"/>
          <w:sz w:val="21"/>
        </w:rPr>
        <w:t>警长</w:t>
      </w:r>
      <w:r>
        <w:rPr>
          <w:sz w:val="21"/>
        </w:rPr>
        <w:t>+</w:t>
      </w:r>
      <w:r>
        <w:rPr>
          <w:rFonts w:ascii="楷体" w:hAnsi="楷体" w:eastAsia="楷体" w:cs="楷体"/>
          <w:sz w:val="21"/>
        </w:rPr>
        <w:t>”多部门联动模式，开展联合执法与专项整治。</w:t>
      </w:r>
    </w:p>
    <w:p w14:paraId="37DBA6B4">
      <w:pPr>
        <w:shd w:val="clear" w:color="auto" w:fill="auto"/>
        <w:spacing w:line="360" w:lineRule="auto"/>
        <w:jc w:val="left"/>
        <w:textAlignment w:val="center"/>
        <w:rPr>
          <w:sz w:val="21"/>
        </w:rPr>
      </w:pPr>
      <w:r>
        <w:rPr>
          <w:sz w:val="21"/>
        </w:rPr>
        <w:t>(2)说明河流治理采取跨部门、跨区域联防联治机制的优势。</w:t>
      </w:r>
    </w:p>
    <w:p w14:paraId="305BBD41">
      <w:pPr>
        <w:shd w:val="clear" w:color="auto" w:fill="auto"/>
        <w:spacing w:line="360" w:lineRule="auto"/>
        <w:ind w:firstLine="560"/>
        <w:jc w:val="left"/>
        <w:textAlignment w:val="center"/>
        <w:rPr>
          <w:sz w:val="21"/>
        </w:rPr>
      </w:pPr>
      <w:r>
        <w:rPr>
          <w:rFonts w:ascii="楷体" w:hAnsi="楷体" w:eastAsia="楷体" w:cs="楷体"/>
          <w:sz w:val="21"/>
        </w:rPr>
        <w:t>生态修复通过水域岸线保护修复，河道、滩区综合治理，水源涵养、水土流失防治等措施，实现“河安湖晏、岸绿景美、宜居宜业、人水和谐”。在渭河西安段河堤内侧修建有</w:t>
      </w:r>
      <w:r>
        <w:rPr>
          <w:sz w:val="21"/>
        </w:rPr>
        <w:t>100</w:t>
      </w:r>
      <w:r>
        <w:rPr>
          <w:rFonts w:ascii="楷体" w:hAnsi="楷体" w:eastAsia="楷体" w:cs="楷体"/>
          <w:sz w:val="21"/>
        </w:rPr>
        <w:t>多座雁翅坝，如图为同学们拍摄的</w:t>
      </w:r>
      <w:r>
        <w:rPr>
          <w:sz w:val="21"/>
        </w:rPr>
        <w:t>095</w:t>
      </w:r>
      <w:r>
        <w:rPr>
          <w:rFonts w:ascii="楷体" w:hAnsi="楷体" w:eastAsia="楷体" w:cs="楷体"/>
          <w:sz w:val="21"/>
        </w:rPr>
        <w:t>号雁翅坝照片。</w:t>
      </w:r>
    </w:p>
    <w:p w14:paraId="2793E04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71675" cy="1295400"/>
            <wp:effectExtent l="0" t="0" r="9525" b="0"/>
            <wp:docPr id="100029" name="图片 100029" descr="@@@75e44ee4-1362-46cb-9f69-b365ffac37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75e44ee4-1362-46cb-9f69-b365ffac376e"/>
                    <pic:cNvPicPr>
                      <a:picLocks noChangeAspect="1"/>
                    </pic:cNvPicPr>
                  </pic:nvPicPr>
                  <pic:blipFill>
                    <a:blip r:embed="rId22"/>
                    <a:stretch>
                      <a:fillRect/>
                    </a:stretch>
                  </pic:blipFill>
                  <pic:spPr>
                    <a:xfrm>
                      <a:off x="0" y="0"/>
                      <a:ext cx="1971675" cy="1295400"/>
                    </a:xfrm>
                    <a:prstGeom prst="rect">
                      <a:avLst/>
                    </a:prstGeom>
                  </pic:spPr>
                </pic:pic>
              </a:graphicData>
            </a:graphic>
          </wp:inline>
        </w:drawing>
      </w:r>
    </w:p>
    <w:p w14:paraId="297B59A3">
      <w:pPr>
        <w:shd w:val="clear" w:color="auto" w:fill="auto"/>
        <w:spacing w:line="360" w:lineRule="auto"/>
        <w:ind w:firstLine="560"/>
        <w:jc w:val="left"/>
        <w:textAlignment w:val="center"/>
        <w:rPr>
          <w:sz w:val="21"/>
        </w:rPr>
      </w:pPr>
      <w:r>
        <w:rPr>
          <w:rFonts w:ascii="楷体" w:hAnsi="楷体" w:eastAsia="楷体" w:cs="楷体"/>
          <w:sz w:val="21"/>
        </w:rPr>
        <w:t>产业融合河流沿岸打造“绿色长廊”“健康步道”“生态公园”，流域内发展绿色农业、观光农业、乡村旅游等生态产业，成为生态保护与高质量发展的样板。</w:t>
      </w:r>
    </w:p>
    <w:p w14:paraId="3E3CC4F8">
      <w:pPr>
        <w:shd w:val="clear" w:color="auto" w:fill="auto"/>
        <w:spacing w:line="360" w:lineRule="auto"/>
        <w:ind w:firstLine="560"/>
        <w:jc w:val="left"/>
        <w:textAlignment w:val="center"/>
        <w:rPr>
          <w:sz w:val="21"/>
        </w:rPr>
      </w:pPr>
      <w:r>
        <w:rPr>
          <w:rFonts w:ascii="楷体" w:hAnsi="楷体" w:eastAsia="楷体" w:cs="楷体"/>
          <w:sz w:val="21"/>
        </w:rPr>
        <w:t>全民共治政府推进农业和工业节水增效、供水管网漏损治理；设立护河员公益岗位，组织志愿护河队伍；推进全方位监测与“智慧管水”平台建设等。</w:t>
      </w:r>
    </w:p>
    <w:p w14:paraId="3928C5DC">
      <w:pPr>
        <w:shd w:val="clear" w:color="auto" w:fill="auto"/>
        <w:spacing w:line="360" w:lineRule="auto"/>
        <w:jc w:val="left"/>
        <w:textAlignment w:val="center"/>
        <w:rPr>
          <w:sz w:val="21"/>
        </w:rPr>
      </w:pPr>
      <w:r>
        <w:rPr>
          <w:sz w:val="21"/>
        </w:rPr>
        <w:t>(3)推测雁翅坝的作用。</w:t>
      </w:r>
    </w:p>
    <w:p w14:paraId="4C90232A">
      <w:pPr>
        <w:shd w:val="clear" w:color="auto" w:fill="auto"/>
        <w:spacing w:line="360" w:lineRule="auto"/>
        <w:jc w:val="left"/>
        <w:textAlignment w:val="center"/>
        <w:rPr>
          <w:sz w:val="21"/>
        </w:rPr>
      </w:pPr>
      <w:r>
        <w:rPr>
          <w:sz w:val="21"/>
        </w:rPr>
        <w:t>(4)从生态保护、社会经济两方面说明建设幸福河湖的意义，并谈谈你能为建设家乡的河湖做什么。</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68DC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83EE6">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B49540"/>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4AA84F"/>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19755D5F"/>
    <w:rsid w:val="6B0842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3038</Words>
  <Characters>3158</Characters>
  <Lines>0</Lines>
  <Paragraphs>0</Paragraphs>
  <TotalTime>6</TotalTime>
  <ScaleCrop>false</ScaleCrop>
  <LinksUpToDate>false</LinksUpToDate>
  <CharactersWithSpaces>3281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2026-01-22T09:57:40Z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cd617e3fddab493fab11cae9bea70d8fntq2odqzmje</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A400A9473A484222926FA9E51737B019_12</vt:lpwstr>
  </property>
</Properties>
</file>