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4F60132F">
      <w:pPr>
        <w:jc w:val="center"/>
        <w:textAlignment w:val="center"/>
        <w:rPr>
          <w:rFonts w:ascii="宋体" w:hAnsi="宋体" w:eastAsia="宋体" w:cs="宋体"/>
          <w:b/>
          <w:i w:val="0"/>
          <w:color w:val="000000"/>
          <w:sz w:val="30"/>
        </w:rPr>
      </w:pPr>
      <w:r>
        <w:drawing>
          <wp:inline distT="0" distB="0" distL="114300" distR="114300">
            <wp:extent cx="12700" cy="12700"/>
            <wp:effectExtent l="0" t="0" r="0" b="0"/>
            <wp:docPr id="100001" name="图片 1000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1" name="图片 100001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2700" cy="12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b/>
          <w:i w:val="0"/>
          <w:color w:val="000000"/>
          <w:sz w:val="30"/>
        </w:rPr>
        <w:t>2025年湖北省中考地理试题</w:t>
      </w:r>
    </w:p>
    <w:p w14:paraId="7E65E586">
      <w:pPr>
        <w:jc w:val="center"/>
        <w:textAlignment w:val="center"/>
        <w:rPr>
          <w:rFonts w:ascii="Calibri" w:hAnsi="Calibri" w:eastAsia="Calibri" w:cs="Calibri"/>
          <w:b w:val="0"/>
          <w:i w:val="0"/>
          <w:color w:val="000000"/>
          <w:sz w:val="21"/>
        </w:rPr>
      </w:pPr>
      <w:r>
        <w:rPr>
          <w:rFonts w:ascii="Calibri" w:hAnsi="Calibri" w:eastAsia="Calibri" w:cs="Calibri"/>
          <w:b w:val="0"/>
          <w:i w:val="0"/>
          <w:color w:val="000000"/>
          <w:sz w:val="21"/>
        </w:rPr>
        <w:t>学校:___________姓名：___________班级：___________考号：___________</w:t>
      </w:r>
    </w:p>
    <w:p w14:paraId="1DF87D08">
      <w:pPr>
        <w:jc w:val="center"/>
        <w:textAlignment w:val="center"/>
        <w:rPr>
          <w:rFonts w:ascii="黑体" w:hAnsi="黑体" w:eastAsia="黑体" w:cs="黑体"/>
          <w:b/>
          <w:i w:val="0"/>
          <w:color w:val="000000"/>
          <w:sz w:val="30"/>
        </w:rPr>
      </w:pPr>
    </w:p>
    <w:p w14:paraId="5B7D23FA">
      <w:pPr>
        <w:jc w:val="left"/>
        <w:textAlignment w:val="center"/>
        <w:rPr>
          <w:rFonts w:ascii="宋体" w:hAnsi="宋体" w:eastAsia="宋体" w:cs="宋体"/>
          <w:b/>
          <w:i w:val="0"/>
          <w:color w:val="000000"/>
          <w:sz w:val="21"/>
        </w:rPr>
      </w:pPr>
      <w:r>
        <w:rPr>
          <w:rFonts w:ascii="宋体" w:hAnsi="宋体" w:eastAsia="宋体" w:cs="宋体"/>
          <w:b/>
          <w:i w:val="0"/>
          <w:color w:val="000000"/>
          <w:sz w:val="21"/>
        </w:rPr>
        <w:t>一、单选题</w:t>
      </w:r>
    </w:p>
    <w:p w14:paraId="7A5A26E4">
      <w:pPr>
        <w:shd w:val="clear" w:color="auto" w:fill="auto"/>
        <w:spacing w:line="360" w:lineRule="auto"/>
        <w:ind w:firstLine="560"/>
        <w:jc w:val="left"/>
        <w:textAlignment w:val="center"/>
      </w:pPr>
      <w:r>
        <w:rPr>
          <w:sz w:val="21"/>
        </w:rPr>
        <w:t>2025</w:t>
      </w:r>
      <w:r>
        <w:rPr>
          <w:rFonts w:ascii="楷体" w:hAnsi="楷体" w:eastAsia="楷体" w:cs="楷体"/>
          <w:sz w:val="21"/>
        </w:rPr>
        <w:t>年</w:t>
      </w:r>
      <w:r>
        <w:rPr>
          <w:sz w:val="21"/>
        </w:rPr>
        <w:t>3</w:t>
      </w:r>
      <w:r>
        <w:rPr>
          <w:rFonts w:ascii="楷体" w:hAnsi="楷体" w:eastAsia="楷体" w:cs="楷体"/>
          <w:sz w:val="21"/>
        </w:rPr>
        <w:t>月</w:t>
      </w:r>
      <w:r>
        <w:rPr>
          <w:sz w:val="21"/>
        </w:rPr>
        <w:t>23</w:t>
      </w:r>
      <w:r>
        <w:rPr>
          <w:rFonts w:ascii="楷体" w:hAnsi="楷体" w:eastAsia="楷体" w:cs="楷体"/>
          <w:sz w:val="21"/>
        </w:rPr>
        <w:t>日，武汉马拉松圆满举办。武汉经典地标和自然景观给大家留下了深刻印象。下图示意</w:t>
      </w:r>
      <w:r>
        <w:rPr>
          <w:sz w:val="21"/>
        </w:rPr>
        <w:t>2025</w:t>
      </w:r>
      <w:r>
        <w:rPr>
          <w:rFonts w:ascii="楷体" w:hAnsi="楷体" w:eastAsia="楷体" w:cs="楷体"/>
          <w:sz w:val="21"/>
        </w:rPr>
        <w:t>年武汉马拉松赛道及赛道地形剖面。完成下面小题。</w:t>
      </w:r>
    </w:p>
    <w:p w14:paraId="2F72ABF6">
      <w:pPr>
        <w:shd w:val="clear" w:color="auto" w:fill="auto"/>
        <w:spacing w:line="360" w:lineRule="auto"/>
        <w:jc w:val="center"/>
        <w:textAlignment w:val="center"/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3305175" cy="2752725"/>
            <wp:effectExtent l="0" t="0" r="9525" b="9525"/>
            <wp:docPr id="100003" name="图片 100003" descr="@@@220e1132-6e39-42ee-8023-0ef2788649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@@@220e1132-6e39-42ee-8023-0ef278864926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3305175" cy="2752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8462DD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1．东湖亲水赛道是武汉马拉松的亮点之一，该段赛道的长度约是（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18878101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A．8km</w:t>
      </w:r>
      <w:r>
        <w:rPr>
          <w:sz w:val="21"/>
        </w:rPr>
        <w:tab/>
      </w:r>
      <w:r>
        <w:rPr>
          <w:sz w:val="21"/>
        </w:rPr>
        <w:t>B．18km</w:t>
      </w:r>
      <w:r>
        <w:rPr>
          <w:sz w:val="21"/>
        </w:rPr>
        <w:tab/>
      </w:r>
      <w:r>
        <w:rPr>
          <w:sz w:val="21"/>
        </w:rPr>
        <w:t>C．28km</w:t>
      </w:r>
      <w:r>
        <w:rPr>
          <w:sz w:val="21"/>
        </w:rPr>
        <w:tab/>
      </w:r>
      <w:r>
        <w:rPr>
          <w:sz w:val="21"/>
        </w:rPr>
        <w:t>D．38km</w:t>
      </w:r>
    </w:p>
    <w:p w14:paraId="7DC114EE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2．一般来说，选手在爬坡赛段体能消耗较大。据此，图中地标附近赛段（加粗显示部分），选手应特别重视的是（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139E5B9C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A．汉口水塔段</w:t>
      </w:r>
      <w:r>
        <w:rPr>
          <w:sz w:val="21"/>
        </w:rPr>
        <w:tab/>
      </w:r>
      <w:r>
        <w:rPr>
          <w:sz w:val="21"/>
        </w:rPr>
        <w:t>B．电视塔段</w:t>
      </w:r>
      <w:r>
        <w:rPr>
          <w:sz w:val="21"/>
        </w:rPr>
        <w:tab/>
      </w:r>
      <w:r>
        <w:rPr>
          <w:sz w:val="21"/>
        </w:rPr>
        <w:t>C．黄鹤楼段</w:t>
      </w:r>
      <w:r>
        <w:rPr>
          <w:sz w:val="21"/>
        </w:rPr>
        <w:tab/>
      </w:r>
      <w:r>
        <w:rPr>
          <w:sz w:val="21"/>
        </w:rPr>
        <w:t>D．楚河汉街段</w:t>
      </w:r>
    </w:p>
    <w:p w14:paraId="056C11CF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  <w:rPr>
          <w:sz w:val="21"/>
        </w:rPr>
      </w:pPr>
    </w:p>
    <w:p w14:paraId="2987A9F8">
      <w:pPr>
        <w:shd w:val="clear" w:color="auto" w:fill="auto"/>
        <w:spacing w:line="360" w:lineRule="auto"/>
        <w:ind w:firstLine="560"/>
        <w:jc w:val="left"/>
        <w:textAlignment w:val="center"/>
        <w:rPr>
          <w:sz w:val="21"/>
        </w:rPr>
      </w:pPr>
      <w:r>
        <w:rPr>
          <w:rFonts w:ascii="楷体" w:hAnsi="楷体" w:eastAsia="楷体" w:cs="楷体"/>
          <w:sz w:val="21"/>
        </w:rPr>
        <w:t>明长城墙体内层多为夯筑的土墙，外层多为条石砌筑。部分长城遗址面临着墙体坍塌、雨水侵蚀等问题。文物古迹的修复一般遵循保护性修复的原则，长城的保护正在从</w:t>
      </w:r>
      <w:r>
        <w:rPr>
          <w:sz w:val="21"/>
        </w:rPr>
        <w:t>“</w:t>
      </w:r>
      <w:r>
        <w:rPr>
          <w:rFonts w:ascii="楷体" w:hAnsi="楷体" w:eastAsia="楷体" w:cs="楷体"/>
          <w:sz w:val="21"/>
        </w:rPr>
        <w:t>抢救性</w:t>
      </w:r>
      <w:r>
        <w:rPr>
          <w:sz w:val="21"/>
        </w:rPr>
        <w:t>”</w:t>
      </w:r>
      <w:r>
        <w:rPr>
          <w:rFonts w:ascii="楷体" w:hAnsi="楷体" w:eastAsia="楷体" w:cs="楷体"/>
          <w:sz w:val="21"/>
        </w:rPr>
        <w:t>向</w:t>
      </w:r>
      <w:r>
        <w:rPr>
          <w:sz w:val="21"/>
        </w:rPr>
        <w:t>“</w:t>
      </w:r>
      <w:r>
        <w:rPr>
          <w:rFonts w:ascii="楷体" w:hAnsi="楷体" w:eastAsia="楷体" w:cs="楷体"/>
          <w:sz w:val="21"/>
        </w:rPr>
        <w:t>预防性</w:t>
      </w:r>
      <w:r>
        <w:rPr>
          <w:sz w:val="21"/>
        </w:rPr>
        <w:t>”</w:t>
      </w:r>
      <w:r>
        <w:rPr>
          <w:rFonts w:ascii="楷体" w:hAnsi="楷体" w:eastAsia="楷体" w:cs="楷体"/>
          <w:sz w:val="21"/>
        </w:rPr>
        <w:t>保护的方向转变。下图示意明长城分布。完成下面小题。</w:t>
      </w:r>
    </w:p>
    <w:p w14:paraId="5B0B5DD0">
      <w:pPr>
        <w:shd w:val="clear" w:color="auto" w:fill="auto"/>
        <w:spacing w:line="360" w:lineRule="auto"/>
        <w:jc w:val="center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3533775" cy="2305050"/>
            <wp:effectExtent l="0" t="0" r="9525" b="0"/>
            <wp:docPr id="100005" name="图片 100005" descr="@@@e05d79f9-0c7b-4d8c-8a50-297bc7a8938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@@@e05d79f9-0c7b-4d8c-8a50-297bc7a8938f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533775" cy="2305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E47248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3．修建明长城的材料大多就地取材，长城甲—乙段内层土墙主要使用的是（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48F3DE22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A．黄土</w:t>
      </w:r>
      <w:r>
        <w:rPr>
          <w:sz w:val="21"/>
        </w:rPr>
        <w:tab/>
      </w:r>
      <w:r>
        <w:rPr>
          <w:sz w:val="21"/>
        </w:rPr>
        <w:t>B．红土</w:t>
      </w:r>
      <w:r>
        <w:rPr>
          <w:sz w:val="21"/>
        </w:rPr>
        <w:tab/>
      </w:r>
      <w:r>
        <w:rPr>
          <w:sz w:val="21"/>
        </w:rPr>
        <w:t>C．黑土</w:t>
      </w:r>
      <w:r>
        <w:rPr>
          <w:sz w:val="21"/>
        </w:rPr>
        <w:tab/>
      </w:r>
      <w:r>
        <w:rPr>
          <w:sz w:val="21"/>
        </w:rPr>
        <w:t>D．紫色土</w:t>
      </w:r>
    </w:p>
    <w:p w14:paraId="7FD97B2B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4．长城甲—乙段遭受雨水侵蚀的时间主要集中在（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73F31DA9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A．春季</w:t>
      </w:r>
      <w:r>
        <w:rPr>
          <w:sz w:val="21"/>
        </w:rPr>
        <w:tab/>
      </w:r>
      <w:r>
        <w:rPr>
          <w:sz w:val="21"/>
        </w:rPr>
        <w:t>B．夏季</w:t>
      </w:r>
      <w:r>
        <w:rPr>
          <w:sz w:val="21"/>
        </w:rPr>
        <w:tab/>
      </w:r>
      <w:r>
        <w:rPr>
          <w:sz w:val="21"/>
        </w:rPr>
        <w:t>C．秋季</w:t>
      </w:r>
      <w:r>
        <w:rPr>
          <w:sz w:val="21"/>
        </w:rPr>
        <w:tab/>
      </w:r>
      <w:r>
        <w:rPr>
          <w:sz w:val="21"/>
        </w:rPr>
        <w:t>D．冬季</w:t>
      </w:r>
    </w:p>
    <w:p w14:paraId="09B0201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5．下列保护长城的措施中合理的有（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59CEA7A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①移除破损墙体②疏通排水沟槽③更换全部条石④加强数字化监测</w:t>
      </w:r>
    </w:p>
    <w:p w14:paraId="750208AC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A．①②</w:t>
      </w:r>
      <w:r>
        <w:rPr>
          <w:sz w:val="21"/>
        </w:rPr>
        <w:tab/>
      </w:r>
      <w:r>
        <w:rPr>
          <w:sz w:val="21"/>
        </w:rPr>
        <w:t>B．①③</w:t>
      </w:r>
      <w:r>
        <w:rPr>
          <w:sz w:val="21"/>
        </w:rPr>
        <w:tab/>
      </w:r>
      <w:r>
        <w:rPr>
          <w:sz w:val="21"/>
        </w:rPr>
        <w:t>C．②④</w:t>
      </w:r>
      <w:r>
        <w:rPr>
          <w:sz w:val="21"/>
        </w:rPr>
        <w:tab/>
      </w:r>
      <w:r>
        <w:rPr>
          <w:sz w:val="21"/>
        </w:rPr>
        <w:t>D．③④</w:t>
      </w:r>
    </w:p>
    <w:p w14:paraId="53E7028E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  <w:rPr>
          <w:sz w:val="21"/>
        </w:rPr>
      </w:pPr>
    </w:p>
    <w:p w14:paraId="1E118CC2">
      <w:pPr>
        <w:shd w:val="clear" w:color="auto" w:fill="auto"/>
        <w:spacing w:line="360" w:lineRule="auto"/>
        <w:ind w:firstLine="560"/>
        <w:jc w:val="left"/>
        <w:textAlignment w:val="center"/>
        <w:rPr>
          <w:sz w:val="21"/>
        </w:rPr>
      </w:pPr>
      <w:r>
        <w:rPr>
          <w:rFonts w:ascii="楷体" w:hAnsi="楷体" w:eastAsia="楷体" w:cs="楷体"/>
          <w:sz w:val="21"/>
        </w:rPr>
        <w:t>枫香是一种落叶阔叶乔木，人们常将枫香与生长区内其他本土树种混交种植，形成人工混交林。下图示意枫香在我国的主要分布。完成下面小题。</w:t>
      </w:r>
    </w:p>
    <w:p w14:paraId="27B78F96">
      <w:pPr>
        <w:shd w:val="clear" w:color="auto" w:fill="auto"/>
        <w:spacing w:line="360" w:lineRule="auto"/>
        <w:jc w:val="center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3019425" cy="2381250"/>
            <wp:effectExtent l="0" t="0" r="9525" b="0"/>
            <wp:docPr id="100007" name="图片 100007" descr="@@@40bd9403-0db3-4363-b6b5-b113fea90fb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@@@40bd9403-0db3-4363-b6b5-b113fea90fb4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019425" cy="2381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0CBC7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6．枫香主要分布在我国的（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208543A0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A．南方地区</w:t>
      </w:r>
      <w:r>
        <w:rPr>
          <w:sz w:val="21"/>
        </w:rPr>
        <w:tab/>
      </w:r>
      <w:r>
        <w:rPr>
          <w:sz w:val="21"/>
        </w:rPr>
        <w:t>B．北方地区</w:t>
      </w:r>
      <w:r>
        <w:rPr>
          <w:sz w:val="21"/>
        </w:rPr>
        <w:tab/>
      </w:r>
      <w:r>
        <w:rPr>
          <w:sz w:val="21"/>
        </w:rPr>
        <w:t>C．西北地区</w:t>
      </w:r>
      <w:r>
        <w:rPr>
          <w:sz w:val="21"/>
        </w:rPr>
        <w:tab/>
      </w:r>
      <w:r>
        <w:rPr>
          <w:sz w:val="21"/>
        </w:rPr>
        <w:t>D．青藏地区</w:t>
      </w:r>
    </w:p>
    <w:p w14:paraId="1E4BF4EE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7．在枫香的主要分布区，本土典型植被叶片的主要特征为（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5638E124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A．针叶</w:t>
      </w:r>
      <w:r>
        <w:rPr>
          <w:sz w:val="21"/>
        </w:rPr>
        <w:tab/>
      </w:r>
      <w:r>
        <w:rPr>
          <w:sz w:val="21"/>
        </w:rPr>
        <w:t>B．落叶</w:t>
      </w:r>
      <w:r>
        <w:rPr>
          <w:sz w:val="21"/>
        </w:rPr>
        <w:tab/>
      </w:r>
      <w:r>
        <w:rPr>
          <w:sz w:val="21"/>
        </w:rPr>
        <w:t>C．阔叶</w:t>
      </w:r>
      <w:r>
        <w:rPr>
          <w:sz w:val="21"/>
        </w:rPr>
        <w:tab/>
      </w:r>
      <w:r>
        <w:rPr>
          <w:sz w:val="21"/>
        </w:rPr>
        <w:t>D．硬叶</w:t>
      </w:r>
    </w:p>
    <w:p w14:paraId="686E4A15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8．枫香与本土树种混交种植，增加了植株密度，对混交种植区的作用可能有（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74CE9997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①增加林内风速②减少植物蒸腾③增加土壤肥力④减少雨水侵蚀</w:t>
      </w:r>
    </w:p>
    <w:p w14:paraId="115BF595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A．①②</w:t>
      </w:r>
      <w:r>
        <w:rPr>
          <w:sz w:val="21"/>
        </w:rPr>
        <w:tab/>
      </w:r>
      <w:r>
        <w:rPr>
          <w:sz w:val="21"/>
        </w:rPr>
        <w:t>B．①④</w:t>
      </w:r>
      <w:r>
        <w:rPr>
          <w:sz w:val="21"/>
        </w:rPr>
        <w:tab/>
      </w:r>
      <w:r>
        <w:rPr>
          <w:sz w:val="21"/>
        </w:rPr>
        <w:t>C．②③</w:t>
      </w:r>
      <w:r>
        <w:rPr>
          <w:sz w:val="21"/>
        </w:rPr>
        <w:tab/>
      </w:r>
      <w:r>
        <w:rPr>
          <w:sz w:val="21"/>
        </w:rPr>
        <w:t>D．③④</w:t>
      </w:r>
    </w:p>
    <w:p w14:paraId="3C950606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  <w:rPr>
          <w:sz w:val="21"/>
        </w:rPr>
      </w:pPr>
    </w:p>
    <w:p w14:paraId="2C799FEB">
      <w:pPr>
        <w:shd w:val="clear" w:color="auto" w:fill="auto"/>
        <w:spacing w:line="360" w:lineRule="auto"/>
        <w:ind w:firstLine="560"/>
        <w:jc w:val="left"/>
        <w:textAlignment w:val="center"/>
        <w:rPr>
          <w:sz w:val="21"/>
        </w:rPr>
      </w:pPr>
      <w:r>
        <w:rPr>
          <w:rFonts w:ascii="楷体" w:hAnsi="楷体" w:eastAsia="楷体" w:cs="楷体"/>
          <w:sz w:val="21"/>
        </w:rPr>
        <w:t>历史上人们曾认为澳大利亚大陆和南极大陆连接在一起。</w:t>
      </w:r>
      <w:r>
        <w:rPr>
          <w:sz w:val="21"/>
        </w:rPr>
        <w:t>1643</w:t>
      </w:r>
      <w:r>
        <w:rPr>
          <w:rFonts w:ascii="楷体" w:hAnsi="楷体" w:eastAsia="楷体" w:cs="楷体"/>
          <w:sz w:val="21"/>
        </w:rPr>
        <w:t>年航海家完成环绕澳大利亚航行后，发现两大陆隔海相望。如今，澳大利亚成为探索南极的重要补给站之一。下图示意航海家</w:t>
      </w:r>
      <w:r>
        <w:rPr>
          <w:sz w:val="21"/>
        </w:rPr>
        <w:t>1642</w:t>
      </w:r>
      <w:r>
        <w:rPr>
          <w:rFonts w:ascii="楷体" w:hAnsi="楷体" w:eastAsia="楷体" w:cs="楷体"/>
          <w:sz w:val="21"/>
        </w:rPr>
        <w:t>—</w:t>
      </w:r>
      <w:r>
        <w:rPr>
          <w:sz w:val="21"/>
        </w:rPr>
        <w:t>1643</w:t>
      </w:r>
      <w:r>
        <w:rPr>
          <w:rFonts w:ascii="楷体" w:hAnsi="楷体" w:eastAsia="楷体" w:cs="楷体"/>
          <w:sz w:val="21"/>
        </w:rPr>
        <w:t>年的航行路线。完成下面小题。</w:t>
      </w:r>
    </w:p>
    <w:p w14:paraId="1886038D">
      <w:pPr>
        <w:shd w:val="clear" w:color="auto" w:fill="auto"/>
        <w:spacing w:line="360" w:lineRule="auto"/>
        <w:jc w:val="center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3810000" cy="1628775"/>
            <wp:effectExtent l="0" t="0" r="0" b="9525"/>
            <wp:docPr id="100009" name="图片 100009" descr="@@@ab488de9-33ce-4f86-b59e-806ef9f787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@@@ab488de9-33ce-4f86-b59e-806ef9f78700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810000" cy="1628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79E825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9．航海家航行到M处，发现周边仍是海洋，M处所在的大洋是（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7B4800EB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A．北冰洋</w:t>
      </w:r>
      <w:r>
        <w:rPr>
          <w:sz w:val="21"/>
        </w:rPr>
        <w:tab/>
      </w:r>
      <w:r>
        <w:rPr>
          <w:sz w:val="21"/>
        </w:rPr>
        <w:t>B．太平洋</w:t>
      </w:r>
      <w:r>
        <w:rPr>
          <w:sz w:val="21"/>
        </w:rPr>
        <w:tab/>
      </w:r>
      <w:r>
        <w:rPr>
          <w:sz w:val="21"/>
        </w:rPr>
        <w:t>C．大西洋</w:t>
      </w:r>
      <w:r>
        <w:rPr>
          <w:sz w:val="21"/>
        </w:rPr>
        <w:tab/>
      </w:r>
      <w:r>
        <w:rPr>
          <w:sz w:val="21"/>
        </w:rPr>
        <w:t>D．印度洋</w:t>
      </w:r>
    </w:p>
    <w:p w14:paraId="44C9ECE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10．我国南极科考队在澳大利亚霍巴特港（42°53'S，147°20'E）完成补给，前往距此港最近的科考站，该科考站是（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47C36AA1">
      <w:pPr>
        <w:shd w:val="clear" w:color="auto" w:fill="auto"/>
        <w:tabs>
          <w:tab w:val="left" w:pos="4156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A．秦岭站（74°56'S，163°42'E）</w:t>
      </w:r>
      <w:r>
        <w:rPr>
          <w:sz w:val="21"/>
        </w:rPr>
        <w:tab/>
      </w:r>
      <w:r>
        <w:rPr>
          <w:sz w:val="21"/>
        </w:rPr>
        <w:t>B．昆仑站（80°25'S，77°06'E）</w:t>
      </w:r>
    </w:p>
    <w:p w14:paraId="3D8F0422">
      <w:pPr>
        <w:shd w:val="clear" w:color="auto" w:fill="auto"/>
        <w:tabs>
          <w:tab w:val="left" w:pos="4156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C．泰山站（73°51'S，76°58'E）</w:t>
      </w:r>
      <w:r>
        <w:rPr>
          <w:sz w:val="21"/>
        </w:rPr>
        <w:tab/>
      </w:r>
      <w:r>
        <w:rPr>
          <w:sz w:val="21"/>
        </w:rPr>
        <w:t>D．中山站（69°22'S，76°22'E）</w:t>
      </w:r>
    </w:p>
    <w:p w14:paraId="5FEA1A62">
      <w:pPr>
        <w:shd w:val="clear" w:color="auto" w:fill="auto"/>
        <w:tabs>
          <w:tab w:val="left" w:pos="4156"/>
        </w:tabs>
        <w:spacing w:line="360" w:lineRule="auto"/>
        <w:ind w:left="380"/>
        <w:jc w:val="left"/>
        <w:textAlignment w:val="center"/>
        <w:rPr>
          <w:sz w:val="21"/>
        </w:rPr>
      </w:pPr>
    </w:p>
    <w:p w14:paraId="1B83F854">
      <w:pPr>
        <w:jc w:val="center"/>
        <w:textAlignment w:val="center"/>
        <w:rPr>
          <w:rFonts w:ascii="黑体" w:hAnsi="黑体" w:eastAsia="黑体" w:cs="黑体"/>
          <w:b/>
          <w:i w:val="0"/>
          <w:color w:val="000000"/>
          <w:sz w:val="30"/>
        </w:rPr>
      </w:pPr>
    </w:p>
    <w:p w14:paraId="6303BE17">
      <w:pPr>
        <w:jc w:val="left"/>
        <w:textAlignment w:val="center"/>
        <w:rPr>
          <w:rFonts w:ascii="宋体" w:hAnsi="宋体" w:eastAsia="宋体" w:cs="宋体"/>
          <w:b/>
          <w:i w:val="0"/>
          <w:color w:val="000000"/>
          <w:sz w:val="21"/>
        </w:rPr>
      </w:pPr>
      <w:r>
        <w:rPr>
          <w:rFonts w:ascii="宋体" w:hAnsi="宋体" w:eastAsia="宋体" w:cs="宋体"/>
          <w:b/>
          <w:i w:val="0"/>
          <w:color w:val="000000"/>
          <w:sz w:val="21"/>
        </w:rPr>
        <w:t>二、综合题</w:t>
      </w:r>
    </w:p>
    <w:p w14:paraId="5D4B1062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11．阅读图文材料，完成下列要求。</w:t>
      </w:r>
    </w:p>
    <w:p w14:paraId="79513932">
      <w:pPr>
        <w:shd w:val="clear" w:color="auto" w:fill="auto"/>
        <w:spacing w:line="360" w:lineRule="auto"/>
        <w:ind w:firstLine="560"/>
        <w:jc w:val="left"/>
        <w:textAlignment w:val="center"/>
        <w:rPr>
          <w:sz w:val="21"/>
        </w:rPr>
      </w:pPr>
      <w:r>
        <w:rPr>
          <w:rFonts w:ascii="楷体" w:hAnsi="楷体" w:eastAsia="楷体" w:cs="楷体"/>
          <w:sz w:val="21"/>
        </w:rPr>
        <w:t>海水解近渴技术促发展</w:t>
      </w:r>
    </w:p>
    <w:p w14:paraId="51AF1EF7">
      <w:pPr>
        <w:shd w:val="clear" w:color="auto" w:fill="auto"/>
        <w:spacing w:line="360" w:lineRule="auto"/>
        <w:ind w:firstLine="560"/>
        <w:jc w:val="left"/>
        <w:textAlignment w:val="center"/>
        <w:rPr>
          <w:sz w:val="21"/>
        </w:rPr>
      </w:pPr>
      <w:r>
        <w:rPr>
          <w:rFonts w:ascii="楷体" w:hAnsi="楷体" w:eastAsia="楷体" w:cs="楷体"/>
          <w:sz w:val="21"/>
        </w:rPr>
        <w:t>【沙漠之北碧海之南】</w:t>
      </w:r>
    </w:p>
    <w:p w14:paraId="1ADD7143">
      <w:pPr>
        <w:shd w:val="clear" w:color="auto" w:fill="auto"/>
        <w:spacing w:line="360" w:lineRule="auto"/>
        <w:ind w:firstLine="560"/>
        <w:jc w:val="left"/>
        <w:textAlignment w:val="center"/>
        <w:rPr>
          <w:sz w:val="21"/>
        </w:rPr>
      </w:pPr>
      <w:r>
        <w:rPr>
          <w:rFonts w:ascii="楷体" w:hAnsi="楷体" w:eastAsia="楷体" w:cs="楷体"/>
          <w:sz w:val="21"/>
        </w:rPr>
        <w:t>阿尔及利亚位于非洲北部。下图示意阿尔及利亚及周边区域。</w:t>
      </w:r>
    </w:p>
    <w:p w14:paraId="7A848154">
      <w:pPr>
        <w:shd w:val="clear" w:color="auto" w:fill="auto"/>
        <w:spacing w:line="360" w:lineRule="auto"/>
        <w:jc w:val="center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3571875" cy="3076575"/>
            <wp:effectExtent l="0" t="0" r="9525" b="9525"/>
            <wp:docPr id="100011" name="图片 100011" descr="@@@ebc02adc-daf7-4630-843e-29ac5d9eafd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@@@ebc02adc-daf7-4630-843e-29ac5d9eafd4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3571875" cy="3076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BBE765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(1)与我国同纬度东部季风区相比，阿尔及利亚多年平均降水量较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</w:t>
      </w:r>
      <w:r>
        <w:rPr>
          <w:sz w:val="21"/>
        </w:rPr>
        <w:t>，河流水量较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</w:t>
      </w:r>
      <w:r>
        <w:rPr>
          <w:sz w:val="21"/>
        </w:rPr>
        <w:t>。</w:t>
      </w:r>
    </w:p>
    <w:p w14:paraId="4D831DE2">
      <w:pPr>
        <w:shd w:val="clear" w:color="auto" w:fill="auto"/>
        <w:spacing w:line="360" w:lineRule="auto"/>
        <w:ind w:firstLine="560"/>
        <w:jc w:val="left"/>
        <w:textAlignment w:val="center"/>
        <w:rPr>
          <w:sz w:val="21"/>
        </w:rPr>
      </w:pPr>
      <w:r>
        <w:rPr>
          <w:rFonts w:ascii="楷体" w:hAnsi="楷体" w:eastAsia="楷体" w:cs="楷体"/>
          <w:sz w:val="21"/>
        </w:rPr>
        <w:t>【技术赋能海水淡化】</w:t>
      </w:r>
    </w:p>
    <w:p w14:paraId="566ADF7B">
      <w:pPr>
        <w:shd w:val="clear" w:color="auto" w:fill="auto"/>
        <w:spacing w:line="360" w:lineRule="auto"/>
        <w:ind w:firstLine="560"/>
        <w:jc w:val="left"/>
        <w:textAlignment w:val="center"/>
        <w:rPr>
          <w:sz w:val="21"/>
        </w:rPr>
      </w:pPr>
      <w:r>
        <w:rPr>
          <w:rFonts w:ascii="楷体" w:hAnsi="楷体" w:eastAsia="楷体" w:cs="楷体"/>
          <w:sz w:val="21"/>
        </w:rPr>
        <w:t>位于阿尔及利亚西北部的城市奥兰，雨季和我国同纬度东部季风区大致相反。我国企业在奥兰打造了首个</w:t>
      </w:r>
      <w:r>
        <w:rPr>
          <w:sz w:val="21"/>
        </w:rPr>
        <w:t>30</w:t>
      </w:r>
      <w:r>
        <w:rPr>
          <w:rFonts w:ascii="楷体" w:hAnsi="楷体" w:eastAsia="楷体" w:cs="楷体"/>
          <w:sz w:val="21"/>
        </w:rPr>
        <w:t>万吨级大型海水淡化项目，奥兰用水需求季节差异大，该项目可根据当地用水需求灵活调节产能。</w:t>
      </w:r>
    </w:p>
    <w:p w14:paraId="4C41E217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(2)与夏季相比，请说明奥兰冬季海水淡化量较小的自然原因。（至少答两点）</w:t>
      </w:r>
    </w:p>
    <w:p w14:paraId="5EE1B871">
      <w:pPr>
        <w:shd w:val="clear" w:color="auto" w:fill="auto"/>
        <w:spacing w:line="360" w:lineRule="auto"/>
        <w:ind w:firstLine="560"/>
        <w:jc w:val="left"/>
        <w:textAlignment w:val="center"/>
        <w:rPr>
          <w:sz w:val="21"/>
        </w:rPr>
      </w:pPr>
      <w:r>
        <w:rPr>
          <w:rFonts w:ascii="楷体" w:hAnsi="楷体" w:eastAsia="楷体" w:cs="楷体"/>
          <w:sz w:val="21"/>
        </w:rPr>
        <w:t>【积极探索多措并举】</w:t>
      </w:r>
    </w:p>
    <w:p w14:paraId="273F8490">
      <w:pPr>
        <w:shd w:val="clear" w:color="auto" w:fill="auto"/>
        <w:spacing w:line="360" w:lineRule="auto"/>
        <w:ind w:firstLine="560"/>
        <w:jc w:val="left"/>
        <w:textAlignment w:val="center"/>
        <w:rPr>
          <w:sz w:val="21"/>
        </w:rPr>
      </w:pPr>
      <w:r>
        <w:rPr>
          <w:rFonts w:ascii="楷体" w:hAnsi="楷体" w:eastAsia="楷体" w:cs="楷体"/>
          <w:sz w:val="21"/>
        </w:rPr>
        <w:t>目前，阿尔及利亚海水淡化水量占供水总量的比例从</w:t>
      </w:r>
      <w:r>
        <w:rPr>
          <w:sz w:val="21"/>
        </w:rPr>
        <w:t>18%</w:t>
      </w:r>
      <w:r>
        <w:rPr>
          <w:rFonts w:ascii="楷体" w:hAnsi="楷体" w:eastAsia="楷体" w:cs="楷体"/>
          <w:sz w:val="21"/>
        </w:rPr>
        <w:t>提升到</w:t>
      </w:r>
      <w:r>
        <w:rPr>
          <w:sz w:val="21"/>
        </w:rPr>
        <w:t>42%</w:t>
      </w:r>
      <w:r>
        <w:rPr>
          <w:rFonts w:ascii="楷体" w:hAnsi="楷体" w:eastAsia="楷体" w:cs="楷体"/>
          <w:sz w:val="21"/>
        </w:rPr>
        <w:t>，该国还在积极探索更多解决水资源短缺的措施。</w:t>
      </w:r>
    </w:p>
    <w:p w14:paraId="37996D52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(3)请列举除了海水淡化外，阿尔及利亚解决水资源短缺还可以采取的措施。</w:t>
      </w:r>
    </w:p>
    <w:p w14:paraId="2AA44F8E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12．阅读图文材料，完成下列要求。</w:t>
      </w:r>
    </w:p>
    <w:p w14:paraId="7B8BFAC8">
      <w:pPr>
        <w:shd w:val="clear" w:color="auto" w:fill="auto"/>
        <w:spacing w:line="360" w:lineRule="auto"/>
        <w:ind w:firstLine="560"/>
        <w:jc w:val="left"/>
        <w:textAlignment w:val="center"/>
        <w:rPr>
          <w:sz w:val="21"/>
        </w:rPr>
      </w:pPr>
      <w:r>
        <w:rPr>
          <w:rFonts w:ascii="楷体" w:hAnsi="楷体" w:eastAsia="楷体" w:cs="楷体"/>
          <w:sz w:val="21"/>
        </w:rPr>
        <w:t>淤泥瘦身变泥饼太湖恢复好光景</w:t>
      </w:r>
    </w:p>
    <w:p w14:paraId="64FAE56A">
      <w:pPr>
        <w:shd w:val="clear" w:color="auto" w:fill="auto"/>
        <w:spacing w:line="360" w:lineRule="auto"/>
        <w:ind w:firstLine="560"/>
        <w:jc w:val="left"/>
        <w:textAlignment w:val="center"/>
        <w:rPr>
          <w:sz w:val="21"/>
        </w:rPr>
      </w:pPr>
      <w:r>
        <w:rPr>
          <w:rFonts w:ascii="楷体" w:hAnsi="楷体" w:eastAsia="楷体" w:cs="楷体"/>
          <w:sz w:val="21"/>
        </w:rPr>
        <w:t>【太湖之兴——经济腾飞关注环境】</w:t>
      </w:r>
    </w:p>
    <w:p w14:paraId="6E00D38A">
      <w:pPr>
        <w:shd w:val="clear" w:color="auto" w:fill="auto"/>
        <w:spacing w:line="360" w:lineRule="auto"/>
        <w:ind w:firstLine="560"/>
        <w:jc w:val="left"/>
        <w:textAlignment w:val="center"/>
        <w:rPr>
          <w:sz w:val="21"/>
        </w:rPr>
      </w:pPr>
      <w:r>
        <w:rPr>
          <w:rFonts w:ascii="楷体" w:hAnsi="楷体" w:eastAsia="楷体" w:cs="楷体"/>
          <w:sz w:val="21"/>
        </w:rPr>
        <w:t>太湖是我国长江三角洲地区重要的湿地。自</w:t>
      </w:r>
      <w:r>
        <w:rPr>
          <w:sz w:val="21"/>
        </w:rPr>
        <w:t>20</w:t>
      </w:r>
      <w:r>
        <w:rPr>
          <w:rFonts w:ascii="楷体" w:hAnsi="楷体" w:eastAsia="楷体" w:cs="楷体"/>
          <w:sz w:val="21"/>
        </w:rPr>
        <w:t>世纪八九十年代以来，太湖周边经济飞速发展，湿地生态环境问题也越来越受到重视。图</w:t>
      </w:r>
      <w:r>
        <w:rPr>
          <w:sz w:val="21"/>
        </w:rPr>
        <w:t>1</w:t>
      </w:r>
      <w:r>
        <w:rPr>
          <w:rFonts w:ascii="楷体" w:hAnsi="楷体" w:eastAsia="楷体" w:cs="楷体"/>
          <w:sz w:val="21"/>
        </w:rPr>
        <w:t>示意太湖周边水系和城市分布。</w:t>
      </w:r>
    </w:p>
    <w:p w14:paraId="6A437C9E">
      <w:pPr>
        <w:shd w:val="clear" w:color="auto" w:fill="auto"/>
        <w:spacing w:line="360" w:lineRule="auto"/>
        <w:jc w:val="center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2466975" cy="2533650"/>
            <wp:effectExtent l="0" t="0" r="9525" b="0"/>
            <wp:docPr id="100013" name="图片 100013" descr="@@@59705a7b-99b3-4550-90be-55969cc648f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@@@59705a7b-99b3-4550-90be-55969cc648f7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466975" cy="2533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03802C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(1)太湖周边地势低平，汇入的河流众多，入湖口流速较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</w:t>
      </w:r>
      <w:r>
        <w:rPr>
          <w:sz w:val="21"/>
        </w:rPr>
        <w:t>，泥沙易淤积。太湖周边城市与人口较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</w:t>
      </w:r>
      <w:r>
        <w:rPr>
          <w:sz w:val="21"/>
        </w:rPr>
        <w:t>，产生的污水易导致太湖出现富营养化现象。</w:t>
      </w:r>
    </w:p>
    <w:p w14:paraId="190AAAB6">
      <w:pPr>
        <w:shd w:val="clear" w:color="auto" w:fill="auto"/>
        <w:spacing w:line="360" w:lineRule="auto"/>
        <w:ind w:firstLine="560"/>
        <w:jc w:val="left"/>
        <w:textAlignment w:val="center"/>
        <w:rPr>
          <w:sz w:val="21"/>
        </w:rPr>
      </w:pPr>
      <w:r>
        <w:rPr>
          <w:rFonts w:ascii="楷体" w:hAnsi="楷体" w:eastAsia="楷体" w:cs="楷体"/>
          <w:sz w:val="21"/>
        </w:rPr>
        <w:t>【太湖之星——清淤上岸变废为宝】</w:t>
      </w:r>
    </w:p>
    <w:p w14:paraId="77BEDBE9">
      <w:pPr>
        <w:shd w:val="clear" w:color="auto" w:fill="auto"/>
        <w:spacing w:line="360" w:lineRule="auto"/>
        <w:ind w:firstLine="560"/>
        <w:jc w:val="left"/>
        <w:textAlignment w:val="center"/>
        <w:rPr>
          <w:sz w:val="21"/>
        </w:rPr>
      </w:pPr>
      <w:r>
        <w:rPr>
          <w:rFonts w:ascii="楷体" w:hAnsi="楷体" w:eastAsia="楷体" w:cs="楷体"/>
          <w:sz w:val="21"/>
        </w:rPr>
        <w:t>太湖该“减肥”了。底泥清淤，是太湖治理的关键。“太湖之星”水上平台能够充分发挥清淤效能，将淤泥变成源源不断的净水和泥饼。泥饼的资源化利用方式正在探索落地。图</w:t>
      </w:r>
      <w:r>
        <w:rPr>
          <w:sz w:val="21"/>
        </w:rPr>
        <w:t>2</w:t>
      </w:r>
      <w:r>
        <w:rPr>
          <w:rFonts w:ascii="楷体" w:hAnsi="楷体" w:eastAsia="楷体" w:cs="楷体"/>
          <w:sz w:val="21"/>
        </w:rPr>
        <w:t>示意“太湖之星”水上平台工作原理。</w:t>
      </w:r>
    </w:p>
    <w:p w14:paraId="1DE842F2">
      <w:pPr>
        <w:shd w:val="clear" w:color="auto" w:fill="auto"/>
        <w:spacing w:line="360" w:lineRule="auto"/>
        <w:jc w:val="center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3343275" cy="1524000"/>
            <wp:effectExtent l="0" t="0" r="9525" b="0"/>
            <wp:docPr id="100015" name="图片 100015" descr="@@@61bc537a-61c2-4fcf-b3a8-46e0563d7cd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@@@61bc537a-61c2-4fcf-b3a8-46e0563d7cda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343275" cy="15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D5AF68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(2)有专家建议，可以将泥饼回填至太湖西岸宜兴的废弃矿坑，请说明该建议可行的理由。</w:t>
      </w:r>
    </w:p>
    <w:p w14:paraId="7424A210">
      <w:pPr>
        <w:shd w:val="clear" w:color="auto" w:fill="auto"/>
        <w:spacing w:line="360" w:lineRule="auto"/>
        <w:ind w:firstLine="560"/>
        <w:jc w:val="left"/>
        <w:textAlignment w:val="center"/>
        <w:rPr>
          <w:sz w:val="21"/>
        </w:rPr>
      </w:pPr>
      <w:r>
        <w:rPr>
          <w:rFonts w:ascii="楷体" w:hAnsi="楷体" w:eastAsia="楷体" w:cs="楷体"/>
          <w:sz w:val="21"/>
        </w:rPr>
        <w:t>【太湖之新——人地协调守护碧波】</w:t>
      </w:r>
    </w:p>
    <w:p w14:paraId="233C9070">
      <w:pPr>
        <w:shd w:val="clear" w:color="auto" w:fill="auto"/>
        <w:spacing w:line="360" w:lineRule="auto"/>
        <w:ind w:firstLine="560"/>
        <w:jc w:val="left"/>
        <w:textAlignment w:val="center"/>
        <w:rPr>
          <w:sz w:val="21"/>
        </w:rPr>
      </w:pPr>
      <w:r>
        <w:rPr>
          <w:rFonts w:ascii="楷体" w:hAnsi="楷体" w:eastAsia="楷体" w:cs="楷体"/>
          <w:sz w:val="21"/>
        </w:rPr>
        <w:t>淤泥治理工程使太湖面貌一新。</w:t>
      </w:r>
    </w:p>
    <w:p w14:paraId="7BFB8935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(3)请说出淤泥治理工程对太湖湿地的积极作用。（至少答两点）</w:t>
      </w:r>
    </w:p>
    <w:p w14:paraId="54E714E7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13．阅读图文材料，完成下列要求。</w:t>
      </w:r>
    </w:p>
    <w:p w14:paraId="3228BDE7">
      <w:pPr>
        <w:shd w:val="clear" w:color="auto" w:fill="auto"/>
        <w:spacing w:line="360" w:lineRule="auto"/>
        <w:ind w:firstLine="560"/>
        <w:jc w:val="left"/>
        <w:textAlignment w:val="center"/>
        <w:rPr>
          <w:sz w:val="21"/>
        </w:rPr>
      </w:pPr>
      <w:r>
        <w:rPr>
          <w:rFonts w:ascii="楷体" w:hAnsi="楷体" w:eastAsia="楷体" w:cs="楷体"/>
          <w:sz w:val="21"/>
        </w:rPr>
        <w:t>“咸”牧草养出“鲜”牛羊</w:t>
      </w:r>
    </w:p>
    <w:p w14:paraId="4B32008D">
      <w:pPr>
        <w:shd w:val="clear" w:color="auto" w:fill="auto"/>
        <w:spacing w:line="360" w:lineRule="auto"/>
        <w:ind w:firstLine="560"/>
        <w:jc w:val="left"/>
        <w:textAlignment w:val="center"/>
        <w:rPr>
          <w:sz w:val="21"/>
        </w:rPr>
      </w:pPr>
      <w:r>
        <w:rPr>
          <w:rFonts w:ascii="楷体" w:hAnsi="楷体" w:eastAsia="楷体" w:cs="楷体"/>
          <w:sz w:val="21"/>
        </w:rPr>
        <w:t>【因泉而生银边玉湖】</w:t>
      </w:r>
    </w:p>
    <w:p w14:paraId="72DE8A99">
      <w:pPr>
        <w:shd w:val="clear" w:color="auto" w:fill="auto"/>
        <w:spacing w:line="360" w:lineRule="auto"/>
        <w:ind w:firstLine="560"/>
        <w:jc w:val="left"/>
        <w:textAlignment w:val="center"/>
        <w:rPr>
          <w:sz w:val="21"/>
        </w:rPr>
      </w:pPr>
      <w:r>
        <w:rPr>
          <w:rFonts w:ascii="楷体" w:hAnsi="楷体" w:eastAsia="楷体" w:cs="楷体"/>
          <w:sz w:val="21"/>
        </w:rPr>
        <w:t>尕（</w:t>
      </w:r>
      <w:r>
        <w:rPr>
          <w:sz w:val="21"/>
        </w:rPr>
        <w:t>gǎ</w:t>
      </w:r>
      <w:r>
        <w:rPr>
          <w:rFonts w:ascii="楷体" w:hAnsi="楷体" w:eastAsia="楷体" w:cs="楷体"/>
          <w:sz w:val="21"/>
        </w:rPr>
        <w:t>）斯库勒湖位于青海省海西蒙古族藏族自治州，蒙古语意为“镶着银边的湖”，是由周边泉水、溪水汇聚而成。下图示意尕斯库勒湖及周边区域。</w:t>
      </w:r>
    </w:p>
    <w:p w14:paraId="52B3EF63">
      <w:pPr>
        <w:shd w:val="clear" w:color="auto" w:fill="auto"/>
        <w:spacing w:line="360" w:lineRule="auto"/>
        <w:jc w:val="center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4276725" cy="1905000"/>
            <wp:effectExtent l="0" t="0" r="9525" b="0"/>
            <wp:docPr id="100017" name="图片 100017" descr="@@@bc83b916-d78a-4794-b1e0-c31d9a63fb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@@@bc83b916-d78a-4794-b1e0-c31d9a63fb83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4276725" cy="1905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F5C687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(1)尕斯库勒湖地处柴达木盆地西部，为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</w:t>
      </w:r>
      <w:r>
        <w:rPr>
          <w:sz w:val="21"/>
        </w:rPr>
        <w:t>（填“内”或“外”）流湖。</w:t>
      </w:r>
    </w:p>
    <w:p w14:paraId="4C1ECBDF">
      <w:pPr>
        <w:shd w:val="clear" w:color="auto" w:fill="auto"/>
        <w:spacing w:line="360" w:lineRule="auto"/>
        <w:ind w:firstLine="560"/>
        <w:jc w:val="left"/>
        <w:textAlignment w:val="center"/>
        <w:rPr>
          <w:sz w:val="21"/>
        </w:rPr>
      </w:pPr>
      <w:r>
        <w:rPr>
          <w:rFonts w:ascii="楷体" w:hAnsi="楷体" w:eastAsia="楷体" w:cs="楷体"/>
          <w:sz w:val="21"/>
        </w:rPr>
        <w:t>【因湖制宜畜产优质】</w:t>
      </w:r>
    </w:p>
    <w:p w14:paraId="36270900">
      <w:pPr>
        <w:shd w:val="clear" w:color="auto" w:fill="auto"/>
        <w:spacing w:line="360" w:lineRule="auto"/>
        <w:ind w:firstLine="560"/>
        <w:jc w:val="left"/>
        <w:textAlignment w:val="center"/>
        <w:rPr>
          <w:sz w:val="21"/>
        </w:rPr>
      </w:pPr>
      <w:r>
        <w:rPr>
          <w:rFonts w:ascii="楷体" w:hAnsi="楷体" w:eastAsia="楷体" w:cs="楷体"/>
          <w:sz w:val="21"/>
        </w:rPr>
        <w:t>尕斯库勒湖周边牧场土壤盐分丰富，分布有种类多样的“咸味”牧草，牛羊可以吃到“不同味道的套餐”。牛羊吃了富含盐分的牧草后，能有效地抵抗肠道疾病，肉质鲜美，是高原牧场特有的绿色有机农畜优品。</w:t>
      </w:r>
    </w:p>
    <w:p w14:paraId="4420886B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(2)请简要分析当地自然环境对“咸味”牧草生长的有利条件。（至少答两点）</w:t>
      </w:r>
    </w:p>
    <w:p w14:paraId="26AA86B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(3)请简要列举当地“咸味”牧草对牛羊生长的积极作用。</w:t>
      </w:r>
    </w:p>
    <w:p w14:paraId="35D8C93C">
      <w:pPr>
        <w:shd w:val="clear" w:color="auto" w:fill="auto"/>
        <w:spacing w:line="360" w:lineRule="auto"/>
        <w:ind w:firstLine="560"/>
        <w:jc w:val="left"/>
        <w:textAlignment w:val="center"/>
        <w:rPr>
          <w:sz w:val="21"/>
        </w:rPr>
      </w:pPr>
      <w:r>
        <w:rPr>
          <w:rFonts w:ascii="楷体" w:hAnsi="楷体" w:eastAsia="楷体" w:cs="楷体"/>
          <w:sz w:val="21"/>
        </w:rPr>
        <w:t>【因地施策持续发展】</w:t>
      </w:r>
    </w:p>
    <w:p w14:paraId="40FEBB66">
      <w:pPr>
        <w:shd w:val="clear" w:color="auto" w:fill="auto"/>
        <w:spacing w:line="360" w:lineRule="auto"/>
        <w:ind w:firstLine="560"/>
        <w:jc w:val="left"/>
        <w:textAlignment w:val="center"/>
        <w:rPr>
          <w:sz w:val="21"/>
        </w:rPr>
      </w:pPr>
      <w:r>
        <w:rPr>
          <w:rFonts w:ascii="楷体" w:hAnsi="楷体" w:eastAsia="楷体" w:cs="楷体"/>
          <w:sz w:val="21"/>
        </w:rPr>
        <w:t>尕斯库勒湖所在区域的生态环境是一个复杂的系统，既受到自然因素的作用，也受到人类活动的影响。加强这一区域的生态环境保护，对促进其可持续发展具有重要意义。</w:t>
      </w:r>
    </w:p>
    <w:p w14:paraId="281E5437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(4)请列举当地促进草场可持续发展宜采取的措施。</w:t>
      </w:r>
      <w:bookmarkStart w:id="0" w:name="_GoBack"/>
      <w:bookmarkEnd w:id="0"/>
    </w:p>
    <w:sectPr>
      <w:headerReference r:id="rId3" w:type="default"/>
      <w:footerReference r:id="rId5" w:type="default"/>
      <w:headerReference r:id="rId4" w:type="even"/>
      <w:footerReference r:id="rId6" w:type="even"/>
      <w:pgSz w:w="11907" w:h="16839"/>
      <w:pgMar w:top="1440" w:right="1800" w:bottom="1440" w:left="1800" w:header="851" w:footer="425" w:gutter="0"/>
      <w:pgNumType w:start="1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D66E49D">
    <w:pPr>
      <w:jc w:val="center"/>
    </w:pPr>
    <w:r>
      <w:rPr>
        <w:rFonts w:hint="eastAsia"/>
      </w:rPr>
      <w:t>答案第</w:t>
    </w:r>
    <w:r>
      <w:fldChar w:fldCharType="begin"/>
    </w:r>
    <w:r>
      <w:instrText xml:space="preserve"> =</w:instrText>
    </w:r>
    <w:r>
      <w:fldChar w:fldCharType="begin"/>
    </w:r>
    <w:r>
      <w:instrText xml:space="preserve"> page </w:instrText>
    </w:r>
    <w:r>
      <w:fldChar w:fldCharType="separate"/>
    </w:r>
    <w:r>
      <w:instrText xml:space="preserve">1</w:instrText>
    </w:r>
    <w:r>
      <w:fldChar w:fldCharType="end"/>
    </w:r>
    <w:r>
      <w:instrText xml:space="preserve"> </w:instrText>
    </w:r>
    <w:r>
      <w:fldChar w:fldCharType="separate"/>
    </w:r>
    <w:r>
      <w:t>1</w:t>
    </w:r>
    <w:r>
      <w:fldChar w:fldCharType="end"/>
    </w:r>
    <w:r>
      <w:rPr>
        <w:rFonts w:hint="eastAsia"/>
      </w:rPr>
      <w:t>页，共</w:t>
    </w:r>
    <w:r>
      <w:fldChar w:fldCharType="begin"/>
    </w:r>
    <w:r>
      <w:instrText xml:space="preserve"> </w:instrText>
    </w:r>
    <w:r>
      <w:rPr>
        <w:rFonts w:hint="eastAsia"/>
      </w:rPr>
      <w:instrText xml:space="preserve">=</w:instrText>
    </w:r>
    <w:r>
      <w:fldChar w:fldCharType="begin"/>
    </w:r>
    <w:r>
      <w:instrText xml:space="preserve"> sectionpages </w:instrText>
    </w:r>
    <w:r>
      <w:fldChar w:fldCharType="separate"/>
    </w:r>
    <w:r>
      <w:instrText xml:space="preserve">2</w:instrText>
    </w:r>
    <w:r>
      <w:fldChar w:fldCharType="end"/>
    </w:r>
    <w:r>
      <w:instrText xml:space="preserve"> </w:instrText>
    </w:r>
    <w:r>
      <w:fldChar w:fldCharType="separate"/>
    </w:r>
    <w:r>
      <w:t>2</w:t>
    </w:r>
    <w:r>
      <w:fldChar w:fldCharType="end"/>
    </w:r>
    <w:r>
      <w:rPr>
        <w:rFonts w:hint="eastAsia"/>
      </w:rPr>
      <w:t>页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F684A97">
    <w:pPr>
      <w:jc w:val="center"/>
    </w:pPr>
    <w:r>
      <w:rPr>
        <w:rFonts w:hint="eastAsia"/>
      </w:rPr>
      <w:t>答案第</w:t>
    </w:r>
    <w:r>
      <w:fldChar w:fldCharType="begin"/>
    </w:r>
    <w:r>
      <w:instrText xml:space="preserve"> =</w:instrText>
    </w:r>
    <w:r>
      <w:fldChar w:fldCharType="begin"/>
    </w:r>
    <w:r>
      <w:instrText xml:space="preserve"> page </w:instrText>
    </w:r>
    <w:r>
      <w:fldChar w:fldCharType="separate"/>
    </w:r>
    <w:r>
      <w:instrText xml:space="preserve">1</w:instrText>
    </w:r>
    <w:r>
      <w:fldChar w:fldCharType="end"/>
    </w:r>
    <w:r>
      <w:instrText xml:space="preserve"> </w:instrText>
    </w:r>
    <w:r>
      <w:fldChar w:fldCharType="separate"/>
    </w:r>
    <w:r>
      <w:t>1</w:t>
    </w:r>
    <w:r>
      <w:fldChar w:fldCharType="end"/>
    </w:r>
    <w:r>
      <w:rPr>
        <w:rFonts w:hint="eastAsia"/>
      </w:rPr>
      <w:t>页，共</w:t>
    </w:r>
    <w:r>
      <w:fldChar w:fldCharType="begin"/>
    </w:r>
    <w:r>
      <w:instrText xml:space="preserve"> </w:instrText>
    </w:r>
    <w:r>
      <w:rPr>
        <w:rFonts w:hint="eastAsia"/>
      </w:rPr>
      <w:instrText xml:space="preserve">=</w:instrText>
    </w:r>
    <w:r>
      <w:fldChar w:fldCharType="begin"/>
    </w:r>
    <w:r>
      <w:instrText xml:space="preserve"> sectionpages </w:instrText>
    </w:r>
    <w:r>
      <w:fldChar w:fldCharType="separate"/>
    </w:r>
    <w:r>
      <w:instrText xml:space="preserve">2</w:instrText>
    </w:r>
    <w:r>
      <w:fldChar w:fldCharType="end"/>
    </w:r>
    <w:r>
      <w:instrText xml:space="preserve"> </w:instrText>
    </w:r>
    <w:r>
      <w:fldChar w:fldCharType="separate"/>
    </w:r>
    <w:r>
      <w:t>2</w:t>
    </w:r>
    <w:r>
      <w:fldChar w:fldCharType="end"/>
    </w:r>
    <w:r>
      <w:rPr>
        <w:rFonts w:hint="eastAsia"/>
      </w:rPr>
      <w:t>页</w: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C342A7B"/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1FBAB5B"/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mirrorMargins w:val="1"/>
  <w:bordersDoNotSurroundHeader w:val="1"/>
  <w:bordersDoNotSurroundFooter w:val="1"/>
  <w:documentProtection w:enforcement="0"/>
  <w:defaultTabStop w:val="420"/>
  <w:evenAndOddHeaders w:val="1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806B0"/>
    <w:rsid w:val="000232A6"/>
    <w:rsid w:val="00043B54"/>
    <w:rsid w:val="00065CD2"/>
    <w:rsid w:val="001D7A06"/>
    <w:rsid w:val="00284433"/>
    <w:rsid w:val="002A1EC6"/>
    <w:rsid w:val="002E035E"/>
    <w:rsid w:val="003F38F2"/>
    <w:rsid w:val="004E46D8"/>
    <w:rsid w:val="00537201"/>
    <w:rsid w:val="0064153B"/>
    <w:rsid w:val="006A4C40"/>
    <w:rsid w:val="006B16C5"/>
    <w:rsid w:val="00776133"/>
    <w:rsid w:val="00811C76"/>
    <w:rsid w:val="00855687"/>
    <w:rsid w:val="008C07DE"/>
    <w:rsid w:val="009E611B"/>
    <w:rsid w:val="00A30CCE"/>
    <w:rsid w:val="00AC3E9C"/>
    <w:rsid w:val="00BC2225"/>
    <w:rsid w:val="00BC4F14"/>
    <w:rsid w:val="00BC62FB"/>
    <w:rsid w:val="00BF535F"/>
    <w:rsid w:val="00C806B0"/>
    <w:rsid w:val="00E476EE"/>
    <w:rsid w:val="00EF035E"/>
    <w:rsid w:val="00F16B29"/>
    <w:rsid w:val="00FA429B"/>
    <w:rsid w:val="05F41D00"/>
    <w:rsid w:val="187F386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iPriority="39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character" w:default="1" w:styleId="5">
    <w:name w:val="Default Paragraph Font"/>
    <w:semiHidden/>
    <w:unhideWhenUsed/>
    <w:uiPriority w:val="1"/>
  </w:style>
  <w:style w:type="table" w:default="1" w:styleId="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link w:val="7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3">
    <w:name w:val="header"/>
    <w:basedOn w:val="1"/>
    <w:link w:val="6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6">
    <w:name w:val="页眉 Char"/>
    <w:basedOn w:val="5"/>
    <w:link w:val="3"/>
    <w:qFormat/>
    <w:uiPriority w:val="99"/>
    <w:rPr>
      <w:sz w:val="18"/>
      <w:szCs w:val="18"/>
    </w:rPr>
  </w:style>
  <w:style w:type="character" w:customStyle="1" w:styleId="7">
    <w:name w:val="页脚 Char"/>
    <w:basedOn w:val="5"/>
    <w:link w:val="2"/>
    <w:qFormat/>
    <w:uiPriority w:val="99"/>
    <w:rPr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2.png"/><Relationship Id="rId8" Type="http://schemas.openxmlformats.org/officeDocument/2006/relationships/image" Target="media/image1.png"/><Relationship Id="rId7" Type="http://schemas.openxmlformats.org/officeDocument/2006/relationships/theme" Target="theme/theme1.xml"/><Relationship Id="rId6" Type="http://schemas.openxmlformats.org/officeDocument/2006/relationships/footer" Target="footer2.xml"/><Relationship Id="rId5" Type="http://schemas.openxmlformats.org/officeDocument/2006/relationships/footer" Target="footer1.xml"/><Relationship Id="rId4" Type="http://schemas.openxmlformats.org/officeDocument/2006/relationships/header" Target="header2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8" Type="http://schemas.openxmlformats.org/officeDocument/2006/relationships/fontTable" Target="fontTable.xml"/><Relationship Id="rId17" Type="http://schemas.openxmlformats.org/officeDocument/2006/relationships/customXml" Target="../customXml/item1.xml"/><Relationship Id="rId16" Type="http://schemas.openxmlformats.org/officeDocument/2006/relationships/image" Target="media/image9.png"/><Relationship Id="rId15" Type="http://schemas.openxmlformats.org/officeDocument/2006/relationships/image" Target="media/image8.png"/><Relationship Id="rId14" Type="http://schemas.openxmlformats.org/officeDocument/2006/relationships/image" Target="media/image7.png"/><Relationship Id="rId13" Type="http://schemas.openxmlformats.org/officeDocument/2006/relationships/image" Target="media/image6.jpeg"/><Relationship Id="rId12" Type="http://schemas.openxmlformats.org/officeDocument/2006/relationships/image" Target="media/image5.png"/><Relationship Id="rId11" Type="http://schemas.openxmlformats.org/officeDocument/2006/relationships/image" Target="media/image4.png"/><Relationship Id="rId10" Type="http://schemas.openxmlformats.org/officeDocument/2006/relationships/image" Target="media/image3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="http://schemas.openxmlformats.org/officeDocument/2006/bibliography" xmlns:b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FBD8B74-E658-41D0-A583-9C5836944D7F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6</Pages>
  <Words>2069</Words>
  <Characters>2233</Characters>
  <Lines>0</Lines>
  <Paragraphs>0</Paragraphs>
  <TotalTime>5</TotalTime>
  <ScaleCrop>false</ScaleCrop>
  <LinksUpToDate>false</LinksUpToDate>
  <CharactersWithSpaces>2314</CharactersWithSpaces>
  <Application>WPS Office_12.1.0.24657_F1E327BC-269C-435d-A152-05C5408002CA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2017-07-19T12:07:00Z</dcterms:created>
  <dc:creator>组卷网zujuan.xkw.com</dc:creator>
  <cp:lastModifiedBy>WPS_1767008123</cp:lastModifiedBy>
  <dcterms:modified xsi:type="dcterms:W3CDTF">2026-01-22T09:01:36Z</dcterms:modified>
  <cp:revision>18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preprocessed">
    <vt:lpwstr>1</vt:lpwstr>
  </property>
  <property fmtid="{D5CDD505-2E9C-101B-9397-08002B2CF9AE}" pid="3" name="version">
    <vt:lpwstr>bcc875f0cd6b468ca30da434c9179f4cmje2mta0nze3mw</vt:lpwstr>
  </property>
  <property fmtid="{D5CDD505-2E9C-101B-9397-08002B2CF9AE}" pid="4" name="KSOTemplateDocerSaveRecord">
    <vt:lpwstr>eyJoZGlkIjoiZGExZDA5NzQyNWQ5NjRkNzRmNzZmYmJjNmQ3NTEyNGEiLCJ1c2VySWQiOiIxNzg3MTg0NjQzIn0=</vt:lpwstr>
  </property>
  <property fmtid="{D5CDD505-2E9C-101B-9397-08002B2CF9AE}" pid="5" name="KSOProductBuildVer">
    <vt:lpwstr>2052-12.1.0.24657</vt:lpwstr>
  </property>
  <property fmtid="{D5CDD505-2E9C-101B-9397-08002B2CF9AE}" pid="6" name="ICV">
    <vt:lpwstr>06816544FA1F47099C9EFAAF536F7157_12</vt:lpwstr>
  </property>
</Properties>
</file>