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2025年江苏省徐州市中考地理试题</w:t>
      </w:r>
    </w:p>
    <w:p w14:paraId="416CCC59">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61107496">
      <w:pPr>
        <w:jc w:val="center"/>
        <w:textAlignment w:val="center"/>
        <w:rPr>
          <w:rFonts w:ascii="黑体" w:hAnsi="黑体" w:eastAsia="黑体" w:cs="黑体"/>
          <w:b/>
          <w:i w:val="0"/>
          <w:color w:val="000000"/>
          <w:sz w:val="30"/>
        </w:rPr>
      </w:pPr>
    </w:p>
    <w:p w14:paraId="11B8500B">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6F9A1186">
      <w:pPr>
        <w:shd w:val="clear" w:color="auto" w:fill="auto"/>
        <w:spacing w:line="360" w:lineRule="auto"/>
        <w:ind w:firstLine="560"/>
        <w:jc w:val="left"/>
        <w:textAlignment w:val="center"/>
      </w:pPr>
      <w:r>
        <w:rPr>
          <w:rFonts w:ascii="楷体" w:hAnsi="楷体" w:eastAsia="楷体" w:cs="楷体"/>
          <w:sz w:val="21"/>
        </w:rPr>
        <w:t>黄（渤）海候鸟栖息地（第二期）位于东亚</w:t>
      </w:r>
      <w:r>
        <w:rPr>
          <w:sz w:val="21"/>
        </w:rPr>
        <w:t>—</w:t>
      </w:r>
      <w:r>
        <w:rPr>
          <w:rFonts w:ascii="楷体" w:hAnsi="楷体" w:eastAsia="楷体" w:cs="楷体"/>
          <w:sz w:val="21"/>
        </w:rPr>
        <w:t>澳大利亚候鸟迁飞通道中部（如下图），每年在此中转或越冬的候鸟数量巨大，</w:t>
      </w:r>
      <w:r>
        <w:rPr>
          <w:sz w:val="21"/>
        </w:rPr>
        <w:t>2024</w:t>
      </w:r>
      <w:r>
        <w:rPr>
          <w:rFonts w:ascii="楷体" w:hAnsi="楷体" w:eastAsia="楷体" w:cs="楷体"/>
          <w:sz w:val="21"/>
        </w:rPr>
        <w:t>年被列入《世界遗产名录》。据此完成下面小题。</w:t>
      </w:r>
    </w:p>
    <w:p w14:paraId="04F730DD">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4181475" cy="1838325"/>
            <wp:effectExtent l="0" t="0" r="9525" b="9525"/>
            <wp:docPr id="100003" name="图片 100003" descr="@@@3c8494e2-6544-47c1-91fc-15e98fe037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3c8494e2-6544-47c1-91fc-15e98fe037fa"/>
                    <pic:cNvPicPr>
                      <a:picLocks noChangeAspect="1"/>
                    </pic:cNvPicPr>
                  </pic:nvPicPr>
                  <pic:blipFill>
                    <a:blip r:embed="rId9"/>
                    <a:stretch>
                      <a:fillRect/>
                    </a:stretch>
                  </pic:blipFill>
                  <pic:spPr>
                    <a:xfrm>
                      <a:off x="0" y="0"/>
                      <a:ext cx="4181475" cy="1838325"/>
                    </a:xfrm>
                    <a:prstGeom prst="rect">
                      <a:avLst/>
                    </a:prstGeom>
                  </pic:spPr>
                </pic:pic>
              </a:graphicData>
            </a:graphic>
          </wp:inline>
        </w:drawing>
      </w:r>
    </w:p>
    <w:p w14:paraId="11A493F5">
      <w:pPr>
        <w:shd w:val="clear" w:color="auto" w:fill="auto"/>
        <w:spacing w:line="360" w:lineRule="auto"/>
        <w:jc w:val="left"/>
        <w:textAlignment w:val="center"/>
        <w:rPr>
          <w:sz w:val="21"/>
        </w:rPr>
      </w:pPr>
      <w:r>
        <w:rPr>
          <w:sz w:val="21"/>
        </w:rPr>
        <w:t>1．东亚—澳大利亚候鸟迁飞通道覆盖的大洲有（</w:t>
      </w:r>
      <w:r>
        <w:rPr>
          <w:rFonts w:ascii="Times New Roman" w:hAnsi="Times New Roman" w:eastAsia="Times New Roman" w:cs="Times New Roman"/>
          <w:kern w:val="0"/>
          <w:sz w:val="24"/>
          <w:szCs w:val="24"/>
        </w:rPr>
        <w:t>   </w:t>
      </w:r>
      <w:r>
        <w:rPr>
          <w:sz w:val="21"/>
        </w:rPr>
        <w:t>）</w:t>
      </w:r>
    </w:p>
    <w:p w14:paraId="0157AF27">
      <w:pPr>
        <w:shd w:val="clear" w:color="auto" w:fill="auto"/>
        <w:tabs>
          <w:tab w:val="left" w:pos="4156"/>
        </w:tabs>
        <w:spacing w:line="360" w:lineRule="auto"/>
        <w:ind w:left="300"/>
        <w:jc w:val="left"/>
        <w:textAlignment w:val="center"/>
        <w:rPr>
          <w:sz w:val="21"/>
        </w:rPr>
      </w:pPr>
      <w:r>
        <w:rPr>
          <w:sz w:val="21"/>
        </w:rPr>
        <w:t>A．亚洲、大洋洲、北美洲</w:t>
      </w:r>
      <w:r>
        <w:rPr>
          <w:sz w:val="21"/>
        </w:rPr>
        <w:tab/>
      </w:r>
      <w:r>
        <w:rPr>
          <w:sz w:val="21"/>
        </w:rPr>
        <w:t>B．欧洲、非洲、北美洲</w:t>
      </w:r>
    </w:p>
    <w:p w14:paraId="382DFA52">
      <w:pPr>
        <w:shd w:val="clear" w:color="auto" w:fill="auto"/>
        <w:tabs>
          <w:tab w:val="left" w:pos="4156"/>
        </w:tabs>
        <w:spacing w:line="360" w:lineRule="auto"/>
        <w:ind w:left="300"/>
        <w:jc w:val="left"/>
        <w:textAlignment w:val="center"/>
        <w:rPr>
          <w:sz w:val="21"/>
        </w:rPr>
      </w:pPr>
      <w:r>
        <w:rPr>
          <w:sz w:val="21"/>
        </w:rPr>
        <w:t>C．亚洲、大洋洲、南美洲</w:t>
      </w:r>
      <w:r>
        <w:rPr>
          <w:sz w:val="21"/>
        </w:rPr>
        <w:tab/>
      </w:r>
      <w:r>
        <w:rPr>
          <w:sz w:val="21"/>
        </w:rPr>
        <w:t>D．亚洲、欧洲、南极洲</w:t>
      </w:r>
    </w:p>
    <w:p w14:paraId="2C8705D8">
      <w:pPr>
        <w:shd w:val="clear" w:color="auto" w:fill="auto"/>
        <w:spacing w:line="360" w:lineRule="auto"/>
        <w:jc w:val="left"/>
        <w:textAlignment w:val="center"/>
        <w:rPr>
          <w:sz w:val="21"/>
        </w:rPr>
      </w:pPr>
      <w:r>
        <w:rPr>
          <w:sz w:val="21"/>
        </w:rPr>
        <w:t>2．黄（渤）海候鸟栖息地被列入《世界遗产名录》的理由是（</w:t>
      </w:r>
      <w:r>
        <w:rPr>
          <w:rFonts w:ascii="Times New Roman" w:hAnsi="Times New Roman" w:eastAsia="Times New Roman" w:cs="Times New Roman"/>
          <w:kern w:val="0"/>
          <w:sz w:val="24"/>
          <w:szCs w:val="24"/>
        </w:rPr>
        <w:t>   </w:t>
      </w:r>
      <w:r>
        <w:rPr>
          <w:sz w:val="21"/>
        </w:rPr>
        <w:t>）</w:t>
      </w:r>
    </w:p>
    <w:p w14:paraId="30F02A92">
      <w:pPr>
        <w:shd w:val="clear" w:color="auto" w:fill="auto"/>
        <w:tabs>
          <w:tab w:val="left" w:pos="2078"/>
          <w:tab w:val="left" w:pos="4156"/>
          <w:tab w:val="left" w:pos="6234"/>
        </w:tabs>
        <w:spacing w:line="360" w:lineRule="auto"/>
        <w:ind w:left="300"/>
        <w:jc w:val="left"/>
        <w:textAlignment w:val="center"/>
        <w:rPr>
          <w:sz w:val="21"/>
        </w:rPr>
      </w:pPr>
      <w:r>
        <w:rPr>
          <w:sz w:val="21"/>
        </w:rPr>
        <w:t>A．湿地面积小</w:t>
      </w:r>
      <w:r>
        <w:rPr>
          <w:sz w:val="21"/>
        </w:rPr>
        <w:tab/>
      </w:r>
      <w:r>
        <w:rPr>
          <w:sz w:val="21"/>
        </w:rPr>
        <w:t>B．生态环境好</w:t>
      </w:r>
      <w:r>
        <w:rPr>
          <w:sz w:val="21"/>
        </w:rPr>
        <w:tab/>
      </w:r>
      <w:r>
        <w:rPr>
          <w:sz w:val="21"/>
        </w:rPr>
        <w:t>C．滩涂水位深</w:t>
      </w:r>
      <w:r>
        <w:rPr>
          <w:sz w:val="21"/>
        </w:rPr>
        <w:tab/>
      </w:r>
      <w:r>
        <w:rPr>
          <w:sz w:val="21"/>
        </w:rPr>
        <w:t>D．人类活动多</w:t>
      </w:r>
    </w:p>
    <w:p w14:paraId="4F93401B">
      <w:pPr>
        <w:shd w:val="clear" w:color="auto" w:fill="auto"/>
        <w:tabs>
          <w:tab w:val="left" w:pos="2078"/>
          <w:tab w:val="left" w:pos="4156"/>
          <w:tab w:val="left" w:pos="6234"/>
        </w:tabs>
        <w:spacing w:line="360" w:lineRule="auto"/>
        <w:ind w:left="300"/>
        <w:jc w:val="left"/>
        <w:textAlignment w:val="center"/>
        <w:rPr>
          <w:sz w:val="21"/>
        </w:rPr>
      </w:pPr>
    </w:p>
    <w:p w14:paraId="7E35A99F">
      <w:pPr>
        <w:shd w:val="clear" w:color="auto" w:fill="auto"/>
        <w:spacing w:line="360" w:lineRule="auto"/>
        <w:ind w:firstLine="560"/>
        <w:jc w:val="left"/>
        <w:textAlignment w:val="center"/>
        <w:rPr>
          <w:sz w:val="21"/>
        </w:rPr>
      </w:pPr>
      <w:r>
        <w:rPr>
          <w:sz w:val="21"/>
        </w:rPr>
        <w:t>2025</w:t>
      </w:r>
      <w:r>
        <w:rPr>
          <w:rFonts w:ascii="楷体" w:hAnsi="楷体" w:eastAsia="楷体" w:cs="楷体"/>
          <w:sz w:val="21"/>
        </w:rPr>
        <w:t>年</w:t>
      </w:r>
      <w:r>
        <w:rPr>
          <w:sz w:val="21"/>
        </w:rPr>
        <w:t>6</w:t>
      </w:r>
      <w:r>
        <w:rPr>
          <w:rFonts w:ascii="楷体" w:hAnsi="楷体" w:eastAsia="楷体" w:cs="楷体"/>
          <w:sz w:val="21"/>
        </w:rPr>
        <w:t>月</w:t>
      </w:r>
      <w:r>
        <w:rPr>
          <w:sz w:val="21"/>
        </w:rPr>
        <w:t>1</w:t>
      </w:r>
      <w:r>
        <w:rPr>
          <w:rFonts w:ascii="楷体" w:hAnsi="楷体" w:eastAsia="楷体" w:cs="楷体"/>
          <w:sz w:val="21"/>
        </w:rPr>
        <w:t>日，徐州某校学生收集地理信息时，观察到智能手表界面如下图所示。据此完成下面小题。</w:t>
      </w:r>
    </w:p>
    <w:p w14:paraId="2216503C">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04925" cy="1971675"/>
            <wp:effectExtent l="0" t="0" r="9525" b="9525"/>
            <wp:docPr id="100005" name="图片 100005" descr="@@@d712c279-f780-4de0-a393-93c839f6b6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d712c279-f780-4de0-a393-93c839f6b6c9"/>
                    <pic:cNvPicPr>
                      <a:picLocks noChangeAspect="1"/>
                    </pic:cNvPicPr>
                  </pic:nvPicPr>
                  <pic:blipFill>
                    <a:blip r:embed="rId10"/>
                    <a:stretch>
                      <a:fillRect/>
                    </a:stretch>
                  </pic:blipFill>
                  <pic:spPr>
                    <a:xfrm>
                      <a:off x="0" y="0"/>
                      <a:ext cx="1304925" cy="1971675"/>
                    </a:xfrm>
                    <a:prstGeom prst="rect">
                      <a:avLst/>
                    </a:prstGeom>
                  </pic:spPr>
                </pic:pic>
              </a:graphicData>
            </a:graphic>
          </wp:inline>
        </w:drawing>
      </w:r>
    </w:p>
    <w:p w14:paraId="5BBF31E9">
      <w:pPr>
        <w:shd w:val="clear" w:color="auto" w:fill="auto"/>
        <w:spacing w:line="360" w:lineRule="auto"/>
        <w:jc w:val="left"/>
        <w:textAlignment w:val="center"/>
        <w:rPr>
          <w:sz w:val="21"/>
        </w:rPr>
      </w:pPr>
      <w:r>
        <w:rPr>
          <w:sz w:val="21"/>
        </w:rPr>
        <w:t>3．智能手表显示的“日出日落”现象，其成因是（</w:t>
      </w:r>
      <w:r>
        <w:rPr>
          <w:rFonts w:ascii="Times New Roman" w:hAnsi="Times New Roman" w:eastAsia="Times New Roman" w:cs="Times New Roman"/>
          <w:kern w:val="0"/>
          <w:sz w:val="24"/>
          <w:szCs w:val="24"/>
        </w:rPr>
        <w:t>   </w:t>
      </w:r>
      <w:r>
        <w:rPr>
          <w:sz w:val="21"/>
        </w:rPr>
        <w:t>）</w:t>
      </w:r>
    </w:p>
    <w:p w14:paraId="0EBA4F63">
      <w:pPr>
        <w:shd w:val="clear" w:color="auto" w:fill="auto"/>
        <w:tabs>
          <w:tab w:val="left" w:pos="2078"/>
          <w:tab w:val="left" w:pos="4156"/>
          <w:tab w:val="left" w:pos="6234"/>
        </w:tabs>
        <w:spacing w:line="360" w:lineRule="auto"/>
        <w:ind w:left="300"/>
        <w:jc w:val="left"/>
        <w:textAlignment w:val="center"/>
        <w:rPr>
          <w:sz w:val="21"/>
        </w:rPr>
      </w:pPr>
      <w:r>
        <w:rPr>
          <w:sz w:val="21"/>
        </w:rPr>
        <w:t>A．地球形状</w:t>
      </w:r>
      <w:r>
        <w:rPr>
          <w:sz w:val="21"/>
        </w:rPr>
        <w:tab/>
      </w:r>
      <w:r>
        <w:rPr>
          <w:sz w:val="21"/>
        </w:rPr>
        <w:t>B．地球大小</w:t>
      </w:r>
      <w:r>
        <w:rPr>
          <w:sz w:val="21"/>
        </w:rPr>
        <w:tab/>
      </w:r>
      <w:r>
        <w:rPr>
          <w:sz w:val="21"/>
        </w:rPr>
        <w:t>C．地球自转</w:t>
      </w:r>
      <w:r>
        <w:rPr>
          <w:sz w:val="21"/>
        </w:rPr>
        <w:tab/>
      </w:r>
      <w:r>
        <w:rPr>
          <w:sz w:val="21"/>
        </w:rPr>
        <w:t>D．地球公转</w:t>
      </w:r>
    </w:p>
    <w:p w14:paraId="10E0A5E1">
      <w:pPr>
        <w:shd w:val="clear" w:color="auto" w:fill="auto"/>
        <w:spacing w:line="360" w:lineRule="auto"/>
        <w:jc w:val="left"/>
        <w:textAlignment w:val="center"/>
        <w:rPr>
          <w:sz w:val="21"/>
        </w:rPr>
      </w:pPr>
      <w:r>
        <w:rPr>
          <w:sz w:val="21"/>
        </w:rPr>
        <w:t>4．该日徐州（</w:t>
      </w:r>
      <w:r>
        <w:rPr>
          <w:rFonts w:ascii="Times New Roman" w:hAnsi="Times New Roman" w:eastAsia="Times New Roman" w:cs="Times New Roman"/>
          <w:kern w:val="0"/>
          <w:sz w:val="24"/>
          <w:szCs w:val="24"/>
        </w:rPr>
        <w:t>   </w:t>
      </w:r>
      <w:r>
        <w:rPr>
          <w:sz w:val="21"/>
        </w:rPr>
        <w:t>）</w:t>
      </w:r>
    </w:p>
    <w:p w14:paraId="170A435C">
      <w:pPr>
        <w:shd w:val="clear" w:color="auto" w:fill="auto"/>
        <w:tabs>
          <w:tab w:val="left" w:pos="2078"/>
          <w:tab w:val="left" w:pos="4156"/>
          <w:tab w:val="left" w:pos="6234"/>
        </w:tabs>
        <w:spacing w:line="360" w:lineRule="auto"/>
        <w:ind w:left="300"/>
        <w:jc w:val="left"/>
        <w:textAlignment w:val="center"/>
        <w:rPr>
          <w:sz w:val="21"/>
        </w:rPr>
      </w:pPr>
      <w:r>
        <w:rPr>
          <w:sz w:val="21"/>
        </w:rPr>
        <w:t>A．昼夜等长</w:t>
      </w:r>
      <w:r>
        <w:rPr>
          <w:sz w:val="21"/>
        </w:rPr>
        <w:tab/>
      </w:r>
      <w:r>
        <w:rPr>
          <w:sz w:val="21"/>
        </w:rPr>
        <w:t>B．昼长夜短</w:t>
      </w:r>
      <w:r>
        <w:rPr>
          <w:sz w:val="21"/>
        </w:rPr>
        <w:tab/>
      </w:r>
      <w:r>
        <w:rPr>
          <w:sz w:val="21"/>
        </w:rPr>
        <w:t>C．昼短夜长</w:t>
      </w:r>
      <w:r>
        <w:rPr>
          <w:sz w:val="21"/>
        </w:rPr>
        <w:tab/>
      </w:r>
      <w:r>
        <w:rPr>
          <w:sz w:val="21"/>
        </w:rPr>
        <w:t>D．无法判断</w:t>
      </w:r>
    </w:p>
    <w:p w14:paraId="0C7F39E2">
      <w:pPr>
        <w:shd w:val="clear" w:color="auto" w:fill="auto"/>
        <w:tabs>
          <w:tab w:val="left" w:pos="2078"/>
          <w:tab w:val="left" w:pos="4156"/>
          <w:tab w:val="left" w:pos="6234"/>
        </w:tabs>
        <w:spacing w:line="360" w:lineRule="auto"/>
        <w:ind w:left="300"/>
        <w:jc w:val="left"/>
        <w:textAlignment w:val="center"/>
        <w:rPr>
          <w:sz w:val="21"/>
        </w:rPr>
      </w:pPr>
    </w:p>
    <w:p w14:paraId="0155F537">
      <w:pPr>
        <w:shd w:val="clear" w:color="auto" w:fill="auto"/>
        <w:spacing w:line="360" w:lineRule="auto"/>
        <w:ind w:firstLine="560"/>
        <w:jc w:val="left"/>
        <w:textAlignment w:val="center"/>
        <w:rPr>
          <w:sz w:val="21"/>
        </w:rPr>
      </w:pPr>
      <w:r>
        <w:rPr>
          <w:sz w:val="21"/>
        </w:rPr>
        <w:t>2025</w:t>
      </w:r>
      <w:r>
        <w:rPr>
          <w:rFonts w:ascii="楷体" w:hAnsi="楷体" w:eastAsia="楷体" w:cs="楷体"/>
          <w:sz w:val="21"/>
        </w:rPr>
        <w:t>年端午节，央视天气预报发布暴雨黄色预警：假期期间我国南方地区将出现大到暴雨（如下图）。同时提醒，高速公路部分路段路面湿滑，驾车出行需注意安全。据此完成下面小题。</w:t>
      </w:r>
    </w:p>
    <w:p w14:paraId="2414EA42">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19400" cy="1895475"/>
            <wp:effectExtent l="0" t="0" r="0" b="9525"/>
            <wp:docPr id="100007" name="图片 100007" descr="@@@ceb04898-f769-443b-8e93-4a03060249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eb04898-f769-443b-8e93-4a030602495b"/>
                    <pic:cNvPicPr>
                      <a:picLocks noChangeAspect="1"/>
                    </pic:cNvPicPr>
                  </pic:nvPicPr>
                  <pic:blipFill>
                    <a:blip r:embed="rId11"/>
                    <a:stretch>
                      <a:fillRect/>
                    </a:stretch>
                  </pic:blipFill>
                  <pic:spPr>
                    <a:xfrm>
                      <a:off x="0" y="0"/>
                      <a:ext cx="2819400" cy="1895475"/>
                    </a:xfrm>
                    <a:prstGeom prst="rect">
                      <a:avLst/>
                    </a:prstGeom>
                  </pic:spPr>
                </pic:pic>
              </a:graphicData>
            </a:graphic>
          </wp:inline>
        </w:drawing>
      </w:r>
    </w:p>
    <w:p w14:paraId="11BADC99">
      <w:pPr>
        <w:shd w:val="clear" w:color="auto" w:fill="auto"/>
        <w:spacing w:line="360" w:lineRule="auto"/>
        <w:jc w:val="left"/>
        <w:textAlignment w:val="center"/>
        <w:rPr>
          <w:sz w:val="21"/>
        </w:rPr>
      </w:pPr>
      <w:r>
        <w:rPr>
          <w:sz w:val="21"/>
        </w:rPr>
        <w:t>5．下列天气符号中反映大雨天气的是（</w:t>
      </w:r>
      <w:r>
        <w:rPr>
          <w:rFonts w:ascii="Times New Roman" w:hAnsi="Times New Roman" w:eastAsia="Times New Roman" w:cs="Times New Roman"/>
          <w:kern w:val="0"/>
          <w:sz w:val="24"/>
          <w:szCs w:val="24"/>
        </w:rPr>
        <w:t>   </w:t>
      </w:r>
      <w:r>
        <w:rPr>
          <w:sz w:val="21"/>
        </w:rPr>
        <w:t>）</w:t>
      </w:r>
    </w:p>
    <w:p w14:paraId="5FA44ECE">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09850" cy="704850"/>
            <wp:effectExtent l="0" t="0" r="0" b="0"/>
            <wp:docPr id="100009" name="图片 100009" descr="@@@f06ff09c-2da5-4d00-acf5-196129c6ae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f06ff09c-2da5-4d00-acf5-196129c6aeff"/>
                    <pic:cNvPicPr>
                      <a:picLocks noChangeAspect="1"/>
                    </pic:cNvPicPr>
                  </pic:nvPicPr>
                  <pic:blipFill>
                    <a:blip r:embed="rId12"/>
                    <a:stretch>
                      <a:fillRect/>
                    </a:stretch>
                  </pic:blipFill>
                  <pic:spPr>
                    <a:xfrm>
                      <a:off x="0" y="0"/>
                      <a:ext cx="2609850" cy="704850"/>
                    </a:xfrm>
                    <a:prstGeom prst="rect">
                      <a:avLst/>
                    </a:prstGeom>
                  </pic:spPr>
                </pic:pic>
              </a:graphicData>
            </a:graphic>
          </wp:inline>
        </w:drawing>
      </w:r>
    </w:p>
    <w:p w14:paraId="317855DB">
      <w:pPr>
        <w:shd w:val="clear" w:color="auto" w:fill="auto"/>
        <w:tabs>
          <w:tab w:val="left" w:pos="2078"/>
          <w:tab w:val="left" w:pos="4156"/>
          <w:tab w:val="left" w:pos="6234"/>
        </w:tabs>
        <w:spacing w:line="360" w:lineRule="auto"/>
        <w:ind w:left="30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14:paraId="702EAC22">
      <w:pPr>
        <w:shd w:val="clear" w:color="auto" w:fill="auto"/>
        <w:spacing w:line="360" w:lineRule="auto"/>
        <w:jc w:val="left"/>
        <w:textAlignment w:val="center"/>
        <w:rPr>
          <w:sz w:val="21"/>
        </w:rPr>
      </w:pPr>
      <w:r>
        <w:rPr>
          <w:sz w:val="21"/>
        </w:rPr>
        <w:t>6．端午假期驾车出行，经过以下高速公路最需要警惕强降雨的是（</w:t>
      </w:r>
      <w:r>
        <w:rPr>
          <w:rFonts w:ascii="Times New Roman" w:hAnsi="Times New Roman" w:eastAsia="Times New Roman" w:cs="Times New Roman"/>
          <w:kern w:val="0"/>
          <w:sz w:val="24"/>
          <w:szCs w:val="24"/>
        </w:rPr>
        <w:t>   </w:t>
      </w:r>
      <w:r>
        <w:rPr>
          <w:sz w:val="21"/>
        </w:rPr>
        <w:t>）</w:t>
      </w:r>
    </w:p>
    <w:p w14:paraId="51BE66A1">
      <w:pPr>
        <w:shd w:val="clear" w:color="auto" w:fill="auto"/>
        <w:tabs>
          <w:tab w:val="left" w:pos="2078"/>
          <w:tab w:val="left" w:pos="4156"/>
          <w:tab w:val="left" w:pos="6234"/>
        </w:tabs>
        <w:spacing w:line="360" w:lineRule="auto"/>
        <w:ind w:left="300"/>
        <w:jc w:val="left"/>
        <w:textAlignment w:val="center"/>
        <w:rPr>
          <w:sz w:val="21"/>
        </w:rPr>
      </w:pPr>
      <w:r>
        <w:rPr>
          <w:sz w:val="21"/>
        </w:rPr>
        <w:t>A．G4</w:t>
      </w:r>
      <w:r>
        <w:rPr>
          <w:sz w:val="21"/>
        </w:rPr>
        <w:tab/>
      </w:r>
      <w:r>
        <w:rPr>
          <w:sz w:val="21"/>
        </w:rPr>
        <w:t>B．G5</w:t>
      </w:r>
      <w:r>
        <w:rPr>
          <w:sz w:val="21"/>
        </w:rPr>
        <w:tab/>
      </w:r>
      <w:r>
        <w:rPr>
          <w:sz w:val="21"/>
        </w:rPr>
        <w:t>C．G30</w:t>
      </w:r>
      <w:r>
        <w:rPr>
          <w:sz w:val="21"/>
        </w:rPr>
        <w:tab/>
      </w:r>
      <w:r>
        <w:rPr>
          <w:sz w:val="21"/>
        </w:rPr>
        <w:t>D．G60</w:t>
      </w:r>
    </w:p>
    <w:p w14:paraId="4F179786">
      <w:pPr>
        <w:shd w:val="clear" w:color="auto" w:fill="auto"/>
        <w:tabs>
          <w:tab w:val="left" w:pos="2078"/>
          <w:tab w:val="left" w:pos="4156"/>
          <w:tab w:val="left" w:pos="6234"/>
        </w:tabs>
        <w:spacing w:line="360" w:lineRule="auto"/>
        <w:ind w:left="300"/>
        <w:jc w:val="left"/>
        <w:textAlignment w:val="center"/>
        <w:rPr>
          <w:sz w:val="21"/>
        </w:rPr>
      </w:pPr>
    </w:p>
    <w:p w14:paraId="01771B30">
      <w:pPr>
        <w:shd w:val="clear" w:color="auto" w:fill="auto"/>
        <w:spacing w:line="360" w:lineRule="auto"/>
        <w:ind w:firstLine="560"/>
        <w:jc w:val="left"/>
        <w:textAlignment w:val="center"/>
        <w:rPr>
          <w:sz w:val="21"/>
        </w:rPr>
      </w:pPr>
      <w:r>
        <w:rPr>
          <w:rFonts w:ascii="楷体" w:hAnsi="楷体" w:eastAsia="楷体" w:cs="楷体"/>
          <w:sz w:val="21"/>
        </w:rPr>
        <w:t>夜间灯光的稠密程度与人口、城市、工业等分布有关。下图为卫星拍摄的日本四岛及周边区域夜间灯光遥感图。据此完成下面小题。</w:t>
      </w:r>
    </w:p>
    <w:p w14:paraId="6AEC354E">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485900" cy="1552575"/>
            <wp:effectExtent l="0" t="0" r="0" b="9525"/>
            <wp:docPr id="100011" name="图片 100011" descr="@@@824bab50-27f3-4ca1-b79d-1fb62658b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24bab50-27f3-4ca1-b79d-1fb62658b638"/>
                    <pic:cNvPicPr>
                      <a:picLocks noChangeAspect="1"/>
                    </pic:cNvPicPr>
                  </pic:nvPicPr>
                  <pic:blipFill>
                    <a:blip r:embed="rId13"/>
                    <a:stretch>
                      <a:fillRect/>
                    </a:stretch>
                  </pic:blipFill>
                  <pic:spPr>
                    <a:xfrm>
                      <a:off x="0" y="0"/>
                      <a:ext cx="1485900" cy="1552575"/>
                    </a:xfrm>
                    <a:prstGeom prst="rect">
                      <a:avLst/>
                    </a:prstGeom>
                  </pic:spPr>
                </pic:pic>
              </a:graphicData>
            </a:graphic>
          </wp:inline>
        </w:drawing>
      </w:r>
    </w:p>
    <w:p w14:paraId="5F449C52">
      <w:pPr>
        <w:shd w:val="clear" w:color="auto" w:fill="auto"/>
        <w:spacing w:line="360" w:lineRule="auto"/>
        <w:jc w:val="left"/>
        <w:textAlignment w:val="center"/>
        <w:rPr>
          <w:sz w:val="21"/>
        </w:rPr>
      </w:pPr>
      <w:r>
        <w:rPr>
          <w:sz w:val="21"/>
        </w:rPr>
        <w:t>7．据图判断，日本人口、城市集中分布在（</w:t>
      </w:r>
      <w:r>
        <w:rPr>
          <w:rFonts w:ascii="Times New Roman" w:hAnsi="Times New Roman" w:eastAsia="Times New Roman" w:cs="Times New Roman"/>
          <w:kern w:val="0"/>
          <w:sz w:val="24"/>
          <w:szCs w:val="24"/>
        </w:rPr>
        <w:t>   </w:t>
      </w:r>
      <w:r>
        <w:rPr>
          <w:sz w:val="21"/>
        </w:rPr>
        <w:t>）</w:t>
      </w:r>
    </w:p>
    <w:p w14:paraId="43573845">
      <w:pPr>
        <w:shd w:val="clear" w:color="auto" w:fill="auto"/>
        <w:tabs>
          <w:tab w:val="left" w:pos="2078"/>
          <w:tab w:val="left" w:pos="4156"/>
          <w:tab w:val="left" w:pos="6234"/>
        </w:tabs>
        <w:spacing w:line="360" w:lineRule="auto"/>
        <w:ind w:left="300"/>
        <w:jc w:val="left"/>
        <w:textAlignment w:val="center"/>
        <w:rPr>
          <w:sz w:val="21"/>
        </w:rPr>
      </w:pPr>
      <w:r>
        <w:rPr>
          <w:sz w:val="21"/>
        </w:rPr>
        <w:t>A．太平洋沿岸</w:t>
      </w:r>
      <w:r>
        <w:rPr>
          <w:sz w:val="21"/>
        </w:rPr>
        <w:tab/>
      </w:r>
      <w:r>
        <w:rPr>
          <w:sz w:val="21"/>
        </w:rPr>
        <w:t>B．日本海沿岸</w:t>
      </w:r>
      <w:r>
        <w:rPr>
          <w:sz w:val="21"/>
        </w:rPr>
        <w:tab/>
      </w:r>
      <w:r>
        <w:rPr>
          <w:sz w:val="21"/>
        </w:rPr>
        <w:t>C．中部山地</w:t>
      </w:r>
      <w:r>
        <w:rPr>
          <w:sz w:val="21"/>
        </w:rPr>
        <w:tab/>
      </w:r>
      <w:r>
        <w:rPr>
          <w:sz w:val="21"/>
        </w:rPr>
        <w:t>D．北海道岛</w:t>
      </w:r>
    </w:p>
    <w:p w14:paraId="56F5AE9A">
      <w:pPr>
        <w:shd w:val="clear" w:color="auto" w:fill="auto"/>
        <w:spacing w:line="360" w:lineRule="auto"/>
        <w:jc w:val="left"/>
        <w:textAlignment w:val="center"/>
        <w:rPr>
          <w:sz w:val="21"/>
        </w:rPr>
      </w:pPr>
      <w:r>
        <w:rPr>
          <w:sz w:val="21"/>
        </w:rPr>
        <w:t>8．九州岛南部夜间灯光较暗，但有多个机场，环境也相对较好，更适合布局的工业是（</w:t>
      </w:r>
      <w:r>
        <w:rPr>
          <w:rFonts w:ascii="Times New Roman" w:hAnsi="Times New Roman" w:eastAsia="Times New Roman" w:cs="Times New Roman"/>
          <w:kern w:val="0"/>
          <w:sz w:val="24"/>
          <w:szCs w:val="24"/>
        </w:rPr>
        <w:t>   </w:t>
      </w:r>
      <w:r>
        <w:rPr>
          <w:sz w:val="21"/>
        </w:rPr>
        <w:t>）</w:t>
      </w:r>
    </w:p>
    <w:p w14:paraId="599DEDEE">
      <w:pPr>
        <w:shd w:val="clear" w:color="auto" w:fill="auto"/>
        <w:tabs>
          <w:tab w:val="left" w:pos="2078"/>
          <w:tab w:val="left" w:pos="4156"/>
          <w:tab w:val="left" w:pos="6234"/>
        </w:tabs>
        <w:spacing w:line="360" w:lineRule="auto"/>
        <w:ind w:left="300"/>
        <w:jc w:val="left"/>
        <w:textAlignment w:val="center"/>
        <w:rPr>
          <w:sz w:val="21"/>
        </w:rPr>
      </w:pPr>
      <w:r>
        <w:rPr>
          <w:sz w:val="21"/>
        </w:rPr>
        <w:t>A．纺织工业</w:t>
      </w:r>
      <w:r>
        <w:rPr>
          <w:sz w:val="21"/>
        </w:rPr>
        <w:tab/>
      </w:r>
      <w:r>
        <w:rPr>
          <w:sz w:val="21"/>
        </w:rPr>
        <w:t>B．化学工业</w:t>
      </w:r>
      <w:r>
        <w:rPr>
          <w:sz w:val="21"/>
        </w:rPr>
        <w:tab/>
      </w:r>
      <w:r>
        <w:rPr>
          <w:sz w:val="21"/>
        </w:rPr>
        <w:t>C．钢铁工业</w:t>
      </w:r>
      <w:r>
        <w:rPr>
          <w:sz w:val="21"/>
        </w:rPr>
        <w:tab/>
      </w:r>
      <w:r>
        <w:rPr>
          <w:sz w:val="21"/>
        </w:rPr>
        <w:t>D．高科技工业</w:t>
      </w:r>
    </w:p>
    <w:p w14:paraId="2E6CA5F2">
      <w:pPr>
        <w:shd w:val="clear" w:color="auto" w:fill="auto"/>
        <w:tabs>
          <w:tab w:val="left" w:pos="2078"/>
          <w:tab w:val="left" w:pos="4156"/>
          <w:tab w:val="left" w:pos="6234"/>
        </w:tabs>
        <w:spacing w:line="360" w:lineRule="auto"/>
        <w:ind w:left="300"/>
        <w:jc w:val="left"/>
        <w:textAlignment w:val="center"/>
        <w:rPr>
          <w:sz w:val="21"/>
        </w:rPr>
      </w:pPr>
    </w:p>
    <w:p w14:paraId="552F2802">
      <w:pPr>
        <w:shd w:val="clear" w:color="auto" w:fill="auto"/>
        <w:spacing w:line="360" w:lineRule="auto"/>
        <w:ind w:firstLine="560"/>
        <w:jc w:val="left"/>
        <w:textAlignment w:val="center"/>
        <w:rPr>
          <w:sz w:val="21"/>
        </w:rPr>
      </w:pPr>
      <w:r>
        <w:rPr>
          <w:rFonts w:ascii="楷体" w:hAnsi="楷体" w:eastAsia="楷体" w:cs="楷体"/>
          <w:sz w:val="21"/>
        </w:rPr>
        <w:t>为降低坡度，上山公路多呈曲折的</w:t>
      </w:r>
      <w:r>
        <w:rPr>
          <w:sz w:val="21"/>
        </w:rPr>
        <w:t>“</w:t>
      </w:r>
      <w:r>
        <w:rPr>
          <w:rFonts w:ascii="楷体" w:hAnsi="楷体" w:eastAsia="楷体" w:cs="楷体"/>
          <w:sz w:val="21"/>
        </w:rPr>
        <w:t>之</w:t>
      </w:r>
      <w:r>
        <w:rPr>
          <w:sz w:val="21"/>
        </w:rPr>
        <w:t>”</w:t>
      </w:r>
      <w:r>
        <w:rPr>
          <w:rFonts w:ascii="楷体" w:hAnsi="楷体" w:eastAsia="楷体" w:cs="楷体"/>
          <w:sz w:val="21"/>
        </w:rPr>
        <w:t>字形。下图为江苏海上云台山景区局部区域的等高线地形图，图中甲段公路较为平直。据此完成下面小题。</w:t>
      </w:r>
    </w:p>
    <w:p w14:paraId="7F2EB1E5">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219450" cy="1819275"/>
            <wp:effectExtent l="0" t="0" r="0" b="9525"/>
            <wp:docPr id="100013" name="图片 100013" descr="@@@a8d9eacb-e4b9-4c40-b527-d1e939a097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8d9eacb-e4b9-4c40-b527-d1e939a0973c"/>
                    <pic:cNvPicPr>
                      <a:picLocks noChangeAspect="1"/>
                    </pic:cNvPicPr>
                  </pic:nvPicPr>
                  <pic:blipFill>
                    <a:blip r:embed="rId14"/>
                    <a:stretch>
                      <a:fillRect/>
                    </a:stretch>
                  </pic:blipFill>
                  <pic:spPr>
                    <a:xfrm>
                      <a:off x="0" y="0"/>
                      <a:ext cx="3219450" cy="1819275"/>
                    </a:xfrm>
                    <a:prstGeom prst="rect">
                      <a:avLst/>
                    </a:prstGeom>
                  </pic:spPr>
                </pic:pic>
              </a:graphicData>
            </a:graphic>
          </wp:inline>
        </w:drawing>
      </w:r>
    </w:p>
    <w:p w14:paraId="4F0BDC28">
      <w:pPr>
        <w:shd w:val="clear" w:color="auto" w:fill="auto"/>
        <w:spacing w:line="360" w:lineRule="auto"/>
        <w:jc w:val="left"/>
        <w:textAlignment w:val="center"/>
        <w:rPr>
          <w:sz w:val="21"/>
        </w:rPr>
      </w:pPr>
      <w:r>
        <w:rPr>
          <w:sz w:val="21"/>
        </w:rPr>
        <w:t>9．该图的等高距为（</w:t>
      </w:r>
      <w:r>
        <w:rPr>
          <w:rFonts w:ascii="Times New Roman" w:hAnsi="Times New Roman" w:eastAsia="Times New Roman" w:cs="Times New Roman"/>
          <w:kern w:val="0"/>
          <w:sz w:val="24"/>
          <w:szCs w:val="24"/>
        </w:rPr>
        <w:t>   </w:t>
      </w:r>
      <w:r>
        <w:rPr>
          <w:sz w:val="21"/>
        </w:rPr>
        <w:t>）</w:t>
      </w:r>
    </w:p>
    <w:p w14:paraId="394428E4">
      <w:pPr>
        <w:shd w:val="clear" w:color="auto" w:fill="auto"/>
        <w:tabs>
          <w:tab w:val="left" w:pos="2078"/>
          <w:tab w:val="left" w:pos="4156"/>
          <w:tab w:val="left" w:pos="6234"/>
        </w:tabs>
        <w:spacing w:line="360" w:lineRule="auto"/>
        <w:ind w:left="300"/>
        <w:jc w:val="left"/>
        <w:textAlignment w:val="center"/>
        <w:rPr>
          <w:sz w:val="21"/>
        </w:rPr>
      </w:pPr>
      <w:r>
        <w:rPr>
          <w:sz w:val="21"/>
        </w:rPr>
        <w:t>A．25米</w:t>
      </w:r>
      <w:r>
        <w:rPr>
          <w:sz w:val="21"/>
        </w:rPr>
        <w:tab/>
      </w:r>
      <w:r>
        <w:rPr>
          <w:sz w:val="21"/>
        </w:rPr>
        <w:t>B．50米</w:t>
      </w:r>
      <w:r>
        <w:rPr>
          <w:sz w:val="21"/>
        </w:rPr>
        <w:tab/>
      </w:r>
      <w:r>
        <w:rPr>
          <w:sz w:val="21"/>
        </w:rPr>
        <w:t>C．100米</w:t>
      </w:r>
      <w:r>
        <w:rPr>
          <w:sz w:val="21"/>
        </w:rPr>
        <w:tab/>
      </w:r>
      <w:r>
        <w:rPr>
          <w:sz w:val="21"/>
        </w:rPr>
        <w:t>D．200米</w:t>
      </w:r>
    </w:p>
    <w:p w14:paraId="062C38DE">
      <w:pPr>
        <w:shd w:val="clear" w:color="auto" w:fill="auto"/>
        <w:spacing w:line="360" w:lineRule="auto"/>
        <w:jc w:val="left"/>
        <w:textAlignment w:val="center"/>
        <w:rPr>
          <w:sz w:val="21"/>
        </w:rPr>
      </w:pPr>
      <w:r>
        <w:rPr>
          <w:sz w:val="21"/>
        </w:rPr>
        <w:t>10．图中甲段公路较为平直，是因为（</w:t>
      </w:r>
      <w:r>
        <w:rPr>
          <w:rFonts w:ascii="Times New Roman" w:hAnsi="Times New Roman" w:eastAsia="Times New Roman" w:cs="Times New Roman"/>
          <w:kern w:val="0"/>
          <w:sz w:val="24"/>
          <w:szCs w:val="24"/>
        </w:rPr>
        <w:t>   </w:t>
      </w:r>
      <w:r>
        <w:rPr>
          <w:sz w:val="21"/>
        </w:rPr>
        <w:t>）</w:t>
      </w:r>
    </w:p>
    <w:p w14:paraId="7F1C0E49">
      <w:pPr>
        <w:shd w:val="clear" w:color="auto" w:fill="auto"/>
        <w:tabs>
          <w:tab w:val="left" w:pos="2078"/>
          <w:tab w:val="left" w:pos="4156"/>
          <w:tab w:val="left" w:pos="6234"/>
        </w:tabs>
        <w:spacing w:line="360" w:lineRule="auto"/>
        <w:ind w:left="380"/>
        <w:jc w:val="left"/>
        <w:textAlignment w:val="center"/>
        <w:rPr>
          <w:sz w:val="21"/>
        </w:rPr>
      </w:pPr>
      <w:r>
        <w:rPr>
          <w:sz w:val="21"/>
        </w:rPr>
        <w:t>A．海拔高</w:t>
      </w:r>
      <w:r>
        <w:rPr>
          <w:sz w:val="21"/>
        </w:rPr>
        <w:tab/>
      </w:r>
      <w:r>
        <w:rPr>
          <w:sz w:val="21"/>
        </w:rPr>
        <w:t>B．落差大</w:t>
      </w:r>
      <w:r>
        <w:rPr>
          <w:sz w:val="21"/>
        </w:rPr>
        <w:tab/>
      </w:r>
      <w:r>
        <w:rPr>
          <w:sz w:val="21"/>
        </w:rPr>
        <w:t>C．坡度缓</w:t>
      </w:r>
      <w:r>
        <w:rPr>
          <w:sz w:val="21"/>
        </w:rPr>
        <w:tab/>
      </w:r>
      <w:r>
        <w:rPr>
          <w:sz w:val="21"/>
        </w:rPr>
        <w:t>D．起伏大</w:t>
      </w:r>
    </w:p>
    <w:p w14:paraId="61D2A072">
      <w:pPr>
        <w:shd w:val="clear" w:color="auto" w:fill="auto"/>
        <w:tabs>
          <w:tab w:val="left" w:pos="2078"/>
          <w:tab w:val="left" w:pos="4156"/>
          <w:tab w:val="left" w:pos="6234"/>
        </w:tabs>
        <w:spacing w:line="360" w:lineRule="auto"/>
        <w:ind w:left="380"/>
        <w:jc w:val="left"/>
        <w:textAlignment w:val="center"/>
        <w:rPr>
          <w:sz w:val="21"/>
        </w:rPr>
      </w:pPr>
    </w:p>
    <w:p w14:paraId="19048AC1">
      <w:pPr>
        <w:jc w:val="center"/>
        <w:textAlignment w:val="center"/>
        <w:rPr>
          <w:rFonts w:ascii="黑体" w:hAnsi="黑体" w:eastAsia="黑体" w:cs="黑体"/>
          <w:b/>
          <w:i w:val="0"/>
          <w:color w:val="000000"/>
          <w:sz w:val="30"/>
        </w:rPr>
      </w:pPr>
    </w:p>
    <w:p w14:paraId="40183B70">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二、综合题</w:t>
      </w:r>
    </w:p>
    <w:p w14:paraId="4BABE917">
      <w:pPr>
        <w:shd w:val="clear" w:color="auto" w:fill="auto"/>
        <w:spacing w:line="360" w:lineRule="auto"/>
        <w:jc w:val="left"/>
        <w:textAlignment w:val="center"/>
        <w:rPr>
          <w:sz w:val="21"/>
        </w:rPr>
      </w:pPr>
      <w:r>
        <w:rPr>
          <w:sz w:val="21"/>
        </w:rPr>
        <w:t>11．阅读材料，回答下列问题。</w:t>
      </w:r>
    </w:p>
    <w:p w14:paraId="02D2FBD1">
      <w:pPr>
        <w:shd w:val="clear" w:color="auto" w:fill="auto"/>
        <w:spacing w:line="360" w:lineRule="auto"/>
        <w:ind w:firstLine="560"/>
        <w:jc w:val="left"/>
        <w:textAlignment w:val="center"/>
        <w:rPr>
          <w:sz w:val="21"/>
        </w:rPr>
      </w:pPr>
      <w:r>
        <w:rPr>
          <w:rFonts w:ascii="楷体" w:hAnsi="楷体" w:eastAsia="楷体" w:cs="楷体"/>
          <w:sz w:val="21"/>
        </w:rPr>
        <w:t>材料一多多马和基塔莱及周边地区一年中有明显的干季和湿季之分，为适应这种变化，东非高原的马赛人过着逐水草而居的游牧生活。下图为马赛人</w:t>
      </w:r>
      <w:r>
        <w:rPr>
          <w:sz w:val="21"/>
        </w:rPr>
        <w:t>5~10</w:t>
      </w:r>
      <w:r>
        <w:rPr>
          <w:rFonts w:ascii="楷体" w:hAnsi="楷体" w:eastAsia="楷体" w:cs="楷体"/>
          <w:sz w:val="21"/>
        </w:rPr>
        <w:t>月的游牧路线及多多马和基塔莱的逐月降水量图。</w:t>
      </w:r>
    </w:p>
    <w:p w14:paraId="7C4258B0">
      <w:pPr>
        <w:shd w:val="clear" w:color="auto" w:fill="auto"/>
        <w:spacing w:line="360" w:lineRule="auto"/>
        <w:ind w:firstLine="560"/>
        <w:jc w:val="left"/>
        <w:textAlignment w:val="center"/>
        <w:rPr>
          <w:sz w:val="21"/>
        </w:rPr>
      </w:pPr>
      <w:r>
        <w:rPr>
          <w:rFonts w:ascii="楷体" w:hAnsi="楷体" w:eastAsia="楷体" w:cs="楷体"/>
          <w:sz w:val="21"/>
        </w:rPr>
        <w:t>材料二为帮助非洲当地提升农业生产水平，我国与坦桑尼亚等国合作开展了杂交水稻种植、玉米套种大豆等项目，并传授农产品加工技术，使中国农科技术漂洋过海，在万里之外的非洲大陆生根发芽。</w:t>
      </w:r>
      <w:r>
        <w:rPr>
          <w:sz w:val="21"/>
        </w:rPr>
        <w:t>2024</w:t>
      </w:r>
      <w:r>
        <w:rPr>
          <w:rFonts w:ascii="楷体" w:hAnsi="楷体" w:eastAsia="楷体" w:cs="楷体"/>
          <w:sz w:val="21"/>
        </w:rPr>
        <w:t>年中国自坦桑尼亚等国农产品进口额有较大幅度增长。</w:t>
      </w:r>
    </w:p>
    <w:p w14:paraId="655621BA">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90750" cy="2324100"/>
            <wp:effectExtent l="0" t="0" r="0" b="0"/>
            <wp:docPr id="100015" name="图片 100015" descr="@@@68b81faa-43b6-4475-9b0c-e1ef271c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68b81faa-43b6-4475-9b0c-e1ef271c1438"/>
                    <pic:cNvPicPr>
                      <a:picLocks noChangeAspect="1"/>
                    </pic:cNvPicPr>
                  </pic:nvPicPr>
                  <pic:blipFill>
                    <a:blip r:embed="rId15"/>
                    <a:stretch>
                      <a:fillRect/>
                    </a:stretch>
                  </pic:blipFill>
                  <pic:spPr>
                    <a:xfrm>
                      <a:off x="0" y="0"/>
                      <a:ext cx="2190750" cy="2324100"/>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1333500" cy="2533650"/>
            <wp:effectExtent l="0" t="0" r="0" b="0"/>
            <wp:docPr id="100017" name="图片 100017" descr="@@@0bb5f1cc-3f43-48e4-90e6-a27bbbd8d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bb5f1cc-3f43-48e4-90e6-a27bbbd8d698"/>
                    <pic:cNvPicPr>
                      <a:picLocks noChangeAspect="1"/>
                    </pic:cNvPicPr>
                  </pic:nvPicPr>
                  <pic:blipFill>
                    <a:blip r:embed="rId16"/>
                    <a:stretch>
                      <a:fillRect/>
                    </a:stretch>
                  </pic:blipFill>
                  <pic:spPr>
                    <a:xfrm>
                      <a:off x="0" y="0"/>
                      <a:ext cx="1333500" cy="2533650"/>
                    </a:xfrm>
                    <a:prstGeom prst="rect">
                      <a:avLst/>
                    </a:prstGeom>
                  </pic:spPr>
                </pic:pic>
              </a:graphicData>
            </a:graphic>
          </wp:inline>
        </w:drawing>
      </w:r>
    </w:p>
    <w:p w14:paraId="0FFF773B">
      <w:pPr>
        <w:shd w:val="clear" w:color="auto" w:fill="auto"/>
        <w:spacing w:line="360" w:lineRule="auto"/>
        <w:jc w:val="left"/>
        <w:textAlignment w:val="center"/>
        <w:rPr>
          <w:sz w:val="21"/>
        </w:rPr>
      </w:pPr>
      <w:r>
        <w:rPr>
          <w:sz w:val="21"/>
        </w:rPr>
        <w:t>(1)多多马和基塔莱两地均位于</w:t>
      </w:r>
      <w:r>
        <w:rPr>
          <w:rFonts w:ascii="Times New Roman" w:hAnsi="Times New Roman" w:eastAsia="Times New Roman" w:cs="Times New Roman"/>
          <w:b w:val="0"/>
          <w:sz w:val="21"/>
          <w:u w:val="single"/>
        </w:rPr>
        <w:t xml:space="preserve">    </w:t>
      </w:r>
      <w:r>
        <w:rPr>
          <w:sz w:val="21"/>
        </w:rPr>
        <w:t>带（热量带）。</w:t>
      </w:r>
    </w:p>
    <w:p w14:paraId="6BA0A886">
      <w:pPr>
        <w:shd w:val="clear" w:color="auto" w:fill="auto"/>
        <w:spacing w:line="360" w:lineRule="auto"/>
        <w:jc w:val="left"/>
        <w:textAlignment w:val="center"/>
        <w:rPr>
          <w:sz w:val="21"/>
        </w:rPr>
      </w:pPr>
      <w:r>
        <w:rPr>
          <w:sz w:val="21"/>
        </w:rPr>
        <w:t>(2)10月至次年4月分别是多多马和基塔莱干湿季中的</w:t>
      </w:r>
      <w:r>
        <w:rPr>
          <w:rFonts w:ascii="Times New Roman" w:hAnsi="Times New Roman" w:eastAsia="Times New Roman" w:cs="Times New Roman"/>
          <w:b w:val="0"/>
          <w:sz w:val="21"/>
          <w:u w:val="single"/>
        </w:rPr>
        <w:t xml:space="preserve">    </w:t>
      </w:r>
      <w:r>
        <w:rPr>
          <w:sz w:val="21"/>
        </w:rPr>
        <w:t>季和</w:t>
      </w:r>
      <w:r>
        <w:rPr>
          <w:rFonts w:ascii="Times New Roman" w:hAnsi="Times New Roman" w:eastAsia="Times New Roman" w:cs="Times New Roman"/>
          <w:b w:val="0"/>
          <w:sz w:val="21"/>
          <w:u w:val="single"/>
        </w:rPr>
        <w:t xml:space="preserve">    </w:t>
      </w:r>
      <w:r>
        <w:rPr>
          <w:sz w:val="21"/>
        </w:rPr>
        <w:t>季。</w:t>
      </w:r>
    </w:p>
    <w:p w14:paraId="41993A5E">
      <w:pPr>
        <w:shd w:val="clear" w:color="auto" w:fill="auto"/>
        <w:spacing w:line="360" w:lineRule="auto"/>
        <w:jc w:val="left"/>
        <w:textAlignment w:val="center"/>
        <w:rPr>
          <w:sz w:val="21"/>
        </w:rPr>
      </w:pPr>
      <w:r>
        <w:rPr>
          <w:sz w:val="21"/>
        </w:rPr>
        <w:t>(3)在图中游牧路线上用箭头绘出马赛人5~10月的迁移方向。</w:t>
      </w:r>
    </w:p>
    <w:p w14:paraId="0EA281D5">
      <w:pPr>
        <w:shd w:val="clear" w:color="auto" w:fill="auto"/>
        <w:spacing w:line="360" w:lineRule="auto"/>
        <w:jc w:val="left"/>
        <w:textAlignment w:val="center"/>
        <w:rPr>
          <w:sz w:val="21"/>
        </w:rPr>
      </w:pPr>
      <w:r>
        <w:rPr>
          <w:sz w:val="21"/>
        </w:rPr>
        <w:t>(4)简析我国与坦桑尼亚开展农业合作对坦桑尼亚发展的意义。</w:t>
      </w:r>
      <w:r>
        <w:rPr>
          <w:rFonts w:ascii="Times New Roman" w:hAnsi="Times New Roman" w:eastAsia="Times New Roman" w:cs="Times New Roman"/>
          <w:b w:val="0"/>
          <w:sz w:val="21"/>
          <w:u w:val="single"/>
        </w:rPr>
        <w:t xml:space="preserve">    </w:t>
      </w:r>
    </w:p>
    <w:p w14:paraId="7B107864">
      <w:pPr>
        <w:shd w:val="clear" w:color="auto" w:fill="auto"/>
        <w:spacing w:line="360" w:lineRule="auto"/>
        <w:jc w:val="left"/>
        <w:textAlignment w:val="center"/>
        <w:rPr>
          <w:sz w:val="21"/>
        </w:rPr>
      </w:pPr>
      <w:r>
        <w:rPr>
          <w:sz w:val="21"/>
        </w:rPr>
        <w:t>12．阅读材料，回答下列问题。</w:t>
      </w:r>
    </w:p>
    <w:p w14:paraId="35816CDD">
      <w:pPr>
        <w:shd w:val="clear" w:color="auto" w:fill="auto"/>
        <w:spacing w:line="360" w:lineRule="auto"/>
        <w:ind w:firstLine="560"/>
        <w:jc w:val="left"/>
        <w:textAlignment w:val="center"/>
        <w:rPr>
          <w:sz w:val="21"/>
        </w:rPr>
      </w:pPr>
      <w:r>
        <w:rPr>
          <w:rFonts w:ascii="楷体" w:hAnsi="楷体" w:eastAsia="楷体" w:cs="楷体"/>
          <w:sz w:val="21"/>
        </w:rPr>
        <w:t>材料一有效风能密度是衡量某地可开发风力资源丰富程度的重要指标。图</w:t>
      </w:r>
      <w:r>
        <w:rPr>
          <w:sz w:val="21"/>
        </w:rPr>
        <w:t>1</w:t>
      </w:r>
      <w:r>
        <w:rPr>
          <w:rFonts w:ascii="楷体" w:hAnsi="楷体" w:eastAsia="楷体" w:cs="楷体"/>
          <w:sz w:val="21"/>
        </w:rPr>
        <w:t>为江苏有效风能密度分布及徐州某风电场景观图。</w:t>
      </w:r>
    </w:p>
    <w:p w14:paraId="0CF66ECB">
      <w:pPr>
        <w:shd w:val="clear" w:color="auto" w:fill="auto"/>
        <w:spacing w:line="360" w:lineRule="auto"/>
        <w:ind w:firstLine="560"/>
        <w:jc w:val="left"/>
        <w:textAlignment w:val="center"/>
        <w:rPr>
          <w:sz w:val="21"/>
        </w:rPr>
      </w:pPr>
      <w:r>
        <w:rPr>
          <w:rFonts w:ascii="楷体" w:hAnsi="楷体" w:eastAsia="楷体" w:cs="楷体"/>
          <w:sz w:val="21"/>
        </w:rPr>
        <w:t>材料二为践行绿色低碳发展理念，江苏大力发展风力发电。截至</w:t>
      </w:r>
      <w:r>
        <w:rPr>
          <w:sz w:val="21"/>
        </w:rPr>
        <w:t>2024</w:t>
      </w:r>
      <w:r>
        <w:rPr>
          <w:rFonts w:ascii="楷体" w:hAnsi="楷体" w:eastAsia="楷体" w:cs="楷体"/>
          <w:sz w:val="21"/>
        </w:rPr>
        <w:t>年底，江苏风电装机容量为</w:t>
      </w:r>
      <w:r>
        <w:rPr>
          <w:sz w:val="21"/>
        </w:rPr>
        <w:t>2321.46</w:t>
      </w:r>
      <w:r>
        <w:rPr>
          <w:rFonts w:ascii="楷体" w:hAnsi="楷体" w:eastAsia="楷体" w:cs="楷体"/>
          <w:sz w:val="21"/>
        </w:rPr>
        <w:t>万千瓦。在满足自身风电产业需要的同时，江苏风电设备沿着海上丝绸之路出口到法国、德国等欧洲国家，</w:t>
      </w:r>
      <w:r>
        <w:rPr>
          <w:sz w:val="21"/>
        </w:rPr>
        <w:t>2025</w:t>
      </w:r>
      <w:r>
        <w:rPr>
          <w:rFonts w:ascii="楷体" w:hAnsi="楷体" w:eastAsia="楷体" w:cs="楷体"/>
          <w:sz w:val="21"/>
        </w:rPr>
        <w:t>年以来出口量稳步增长。运输风电设备的轮船返程时装载着从欧洲进口的货物。图</w:t>
      </w:r>
      <w:r>
        <w:rPr>
          <w:sz w:val="21"/>
        </w:rPr>
        <w:t>2</w:t>
      </w:r>
      <w:r>
        <w:rPr>
          <w:rFonts w:ascii="楷体" w:hAnsi="楷体" w:eastAsia="楷体" w:cs="楷体"/>
          <w:sz w:val="21"/>
        </w:rPr>
        <w:t>为风电设备出口路线图。</w:t>
      </w:r>
    </w:p>
    <w:p w14:paraId="649014B8">
      <w:pPr>
        <w:shd w:val="clear" w:color="auto" w:fill="auto"/>
        <w:spacing w:line="360" w:lineRule="auto"/>
        <w:ind w:firstLine="560"/>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62250" cy="1762125"/>
            <wp:effectExtent l="0" t="0" r="0" b="9525"/>
            <wp:docPr id="100019" name="图片 100019" descr="@@@54648da8-46cb-43cb-b8b3-32dc4a1437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54648da8-46cb-43cb-b8b3-32dc4a14373d"/>
                    <pic:cNvPicPr>
                      <a:picLocks noChangeAspect="1"/>
                    </pic:cNvPicPr>
                  </pic:nvPicPr>
                  <pic:blipFill>
                    <a:blip r:embed="rId17"/>
                    <a:stretch>
                      <a:fillRect/>
                    </a:stretch>
                  </pic:blipFill>
                  <pic:spPr>
                    <a:xfrm>
                      <a:off x="0" y="0"/>
                      <a:ext cx="2762250" cy="1762125"/>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924175" cy="2190750"/>
            <wp:effectExtent l="0" t="0" r="9525" b="0"/>
            <wp:docPr id="100021" name="图片 100021" descr="@@@ae4ce607-07f2-4f46-a0cd-eb7d60c6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e4ce607-07f2-4f46-a0cd-eb7d60c62606"/>
                    <pic:cNvPicPr>
                      <a:picLocks noChangeAspect="1"/>
                    </pic:cNvPicPr>
                  </pic:nvPicPr>
                  <pic:blipFill>
                    <a:blip r:embed="rId18"/>
                    <a:stretch>
                      <a:fillRect/>
                    </a:stretch>
                  </pic:blipFill>
                  <pic:spPr>
                    <a:xfrm>
                      <a:off x="0" y="0"/>
                      <a:ext cx="2924175" cy="2190750"/>
                    </a:xfrm>
                    <a:prstGeom prst="rect">
                      <a:avLst/>
                    </a:prstGeom>
                  </pic:spPr>
                </pic:pic>
              </a:graphicData>
            </a:graphic>
          </wp:inline>
        </w:drawing>
      </w:r>
    </w:p>
    <w:p w14:paraId="53B1E603">
      <w:pPr>
        <w:shd w:val="clear" w:color="auto" w:fill="auto"/>
        <w:spacing w:line="360" w:lineRule="auto"/>
        <w:jc w:val="left"/>
        <w:textAlignment w:val="center"/>
        <w:rPr>
          <w:sz w:val="21"/>
        </w:rPr>
      </w:pPr>
      <w:r>
        <w:rPr>
          <w:sz w:val="21"/>
        </w:rPr>
        <w:t>(1)江苏可开发风力资源的空间分布特点是</w:t>
      </w:r>
      <w:r>
        <w:rPr>
          <w:rFonts w:ascii="Times New Roman" w:hAnsi="Times New Roman" w:eastAsia="Times New Roman" w:cs="Times New Roman"/>
          <w:b w:val="0"/>
          <w:sz w:val="21"/>
          <w:u w:val="single"/>
        </w:rPr>
        <w:t xml:space="preserve">    </w:t>
      </w:r>
      <w:r>
        <w:rPr>
          <w:sz w:val="21"/>
        </w:rPr>
        <w:t>。</w:t>
      </w:r>
    </w:p>
    <w:p w14:paraId="14338E7A">
      <w:pPr>
        <w:shd w:val="clear" w:color="auto" w:fill="auto"/>
        <w:spacing w:line="360" w:lineRule="auto"/>
        <w:jc w:val="left"/>
        <w:textAlignment w:val="center"/>
        <w:rPr>
          <w:sz w:val="21"/>
        </w:rPr>
      </w:pPr>
      <w:r>
        <w:rPr>
          <w:sz w:val="21"/>
        </w:rPr>
        <w:t>(2)与我国西部地区相比，江苏风力资源开发更为充分，其社会经济原因有</w:t>
      </w:r>
      <w:r>
        <w:rPr>
          <w:rFonts w:ascii="Times New Roman" w:hAnsi="Times New Roman" w:eastAsia="Times New Roman" w:cs="Times New Roman"/>
          <w:b w:val="0"/>
          <w:sz w:val="21"/>
          <w:u w:val="single"/>
        </w:rPr>
        <w:t xml:space="preserve">    </w:t>
      </w:r>
      <w:r>
        <w:rPr>
          <w:sz w:val="21"/>
        </w:rPr>
        <w:t>。</w:t>
      </w:r>
    </w:p>
    <w:p w14:paraId="65714AB9">
      <w:pPr>
        <w:shd w:val="clear" w:color="auto" w:fill="auto"/>
        <w:spacing w:line="360" w:lineRule="auto"/>
        <w:jc w:val="left"/>
        <w:textAlignment w:val="center"/>
        <w:rPr>
          <w:sz w:val="21"/>
        </w:rPr>
      </w:pPr>
      <w:r>
        <w:rPr>
          <w:sz w:val="21"/>
        </w:rPr>
        <w:t>(3)简析图1中徐州某风电场建在山上的原因。</w:t>
      </w:r>
    </w:p>
    <w:p w14:paraId="42854019">
      <w:pPr>
        <w:shd w:val="clear" w:color="auto" w:fill="auto"/>
        <w:spacing w:line="360" w:lineRule="auto"/>
        <w:jc w:val="left"/>
        <w:textAlignment w:val="center"/>
        <w:rPr>
          <w:sz w:val="21"/>
        </w:rPr>
      </w:pPr>
      <w:r>
        <w:rPr>
          <w:sz w:val="21"/>
        </w:rPr>
        <w:t>(4)江苏风电设备出口到欧洲，路线经过的甲处为</w:t>
      </w:r>
      <w:r>
        <w:rPr>
          <w:rFonts w:ascii="Times New Roman" w:hAnsi="Times New Roman" w:eastAsia="Times New Roman" w:cs="Times New Roman"/>
          <w:b w:val="0"/>
          <w:sz w:val="21"/>
          <w:u w:val="single"/>
        </w:rPr>
        <w:t xml:space="preserve">    </w:t>
      </w:r>
      <w:r>
        <w:rPr>
          <w:sz w:val="21"/>
        </w:rPr>
        <w:t>海峡；返程轮船从欧洲装载的货物众多，试列举一例</w:t>
      </w:r>
      <w:r>
        <w:rPr>
          <w:rFonts w:ascii="Times New Roman" w:hAnsi="Times New Roman" w:eastAsia="Times New Roman" w:cs="Times New Roman"/>
          <w:b w:val="0"/>
          <w:sz w:val="21"/>
          <w:u w:val="single"/>
        </w:rPr>
        <w:t xml:space="preserve">    </w:t>
      </w:r>
      <w:r>
        <w:rPr>
          <w:sz w:val="21"/>
        </w:rPr>
        <w:t>。</w:t>
      </w:r>
    </w:p>
    <w:p w14:paraId="7B550F69">
      <w:pPr>
        <w:shd w:val="clear" w:color="auto" w:fill="auto"/>
        <w:spacing w:line="360" w:lineRule="auto"/>
        <w:jc w:val="left"/>
        <w:textAlignment w:val="center"/>
        <w:rPr>
          <w:sz w:val="21"/>
        </w:rPr>
      </w:pPr>
      <w:r>
        <w:rPr>
          <w:sz w:val="21"/>
        </w:rPr>
        <w:t>13．阅读材料，回答下列问题。</w:t>
      </w:r>
    </w:p>
    <w:p w14:paraId="770750BC">
      <w:pPr>
        <w:shd w:val="clear" w:color="auto" w:fill="auto"/>
        <w:spacing w:line="360" w:lineRule="auto"/>
        <w:ind w:firstLine="560"/>
        <w:jc w:val="left"/>
        <w:textAlignment w:val="center"/>
        <w:rPr>
          <w:sz w:val="21"/>
        </w:rPr>
      </w:pPr>
      <w:r>
        <w:rPr>
          <w:rFonts w:ascii="楷体" w:hAnsi="楷体" w:eastAsia="楷体" w:cs="楷体"/>
          <w:sz w:val="21"/>
        </w:rPr>
        <w:t>黄河流域是国家生态安全战略的重要组成部分，黄河流域生态保护和高质量发展有利于促进黄河两岸区域可持续发展。</w:t>
      </w:r>
    </w:p>
    <w:p w14:paraId="658906AE">
      <w:pPr>
        <w:shd w:val="clear" w:color="auto" w:fill="auto"/>
        <w:spacing w:line="360" w:lineRule="auto"/>
        <w:ind w:firstLine="560"/>
        <w:jc w:val="left"/>
        <w:textAlignment w:val="center"/>
        <w:rPr>
          <w:sz w:val="21"/>
        </w:rPr>
      </w:pPr>
      <w:r>
        <w:rPr>
          <w:rFonts w:ascii="楷体" w:hAnsi="楷体" w:eastAsia="楷体" w:cs="楷体"/>
          <w:sz w:val="21"/>
        </w:rPr>
        <w:t>材料一多年监测数据表明，黄河干流年径流量变化相对较小，输沙量变化较大。黄河一部分泥沙在入海口附近沉积，形成河口三角洲。下图</w:t>
      </w:r>
      <w:r>
        <w:rPr>
          <w:sz w:val="21"/>
        </w:rPr>
        <w:t>1</w:t>
      </w:r>
      <w:r>
        <w:rPr>
          <w:rFonts w:ascii="楷体" w:hAnsi="楷体" w:eastAsia="楷体" w:cs="楷体"/>
          <w:sz w:val="21"/>
        </w:rPr>
        <w:t>为黄河水系示意图，下表为黄河干流四个水文站输沙量数据（单位：亿吨）。</w:t>
      </w:r>
    </w:p>
    <w:p w14:paraId="49AB3945">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10000" cy="1790700"/>
            <wp:effectExtent l="0" t="0" r="0" b="0"/>
            <wp:docPr id="100023" name="图片 100023" descr="@@@e06a1268-e5a1-497e-8f32-e31fbe91f73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e06a1268-e5a1-497e-8f32-e31fbe91f73c"/>
                    <pic:cNvPicPr>
                      <a:picLocks noChangeAspect="1"/>
                    </pic:cNvPicPr>
                  </pic:nvPicPr>
                  <pic:blipFill>
                    <a:blip r:embed="rId19"/>
                    <a:stretch>
                      <a:fillRect/>
                    </a:stretch>
                  </pic:blipFill>
                  <pic:spPr>
                    <a:xfrm>
                      <a:off x="0" y="0"/>
                      <a:ext cx="3810000" cy="1790700"/>
                    </a:xfrm>
                    <a:prstGeom prst="rect">
                      <a:avLst/>
                    </a:prstGeom>
                  </pic:spPr>
                </pic:pic>
              </a:graphicData>
            </a:graphic>
          </wp:inline>
        </w:drawing>
      </w:r>
    </w:p>
    <w:tbl>
      <w:tblPr>
        <w:tblStyle w:val="4"/>
        <w:tblW w:w="64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15"/>
        <w:gridCol w:w="2730"/>
        <w:gridCol w:w="2790"/>
      </w:tblGrid>
      <w:tr w14:paraId="2010E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13D18D">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输沙量水文站</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3A667F">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多年平均（1950—2020）</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4B3050">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10年平均（2014—2023）</w:t>
            </w:r>
          </w:p>
        </w:tc>
      </w:tr>
      <w:tr w14:paraId="158E2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58EF5F">
            <w:pPr>
              <w:shd w:val="clear" w:color="auto" w:fill="auto"/>
              <w:spacing w:line="360" w:lineRule="auto"/>
              <w:jc w:val="center"/>
              <w:textAlignment w:val="center"/>
              <w:rPr>
                <w:sz w:val="21"/>
              </w:rPr>
            </w:pPr>
            <w:r>
              <w:rPr>
                <w:rFonts w:ascii="楷体" w:hAnsi="楷体" w:eastAsia="楷体" w:cs="楷体"/>
                <w:sz w:val="21"/>
              </w:rPr>
              <w:t>头道拐</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D0C334">
            <w:pPr>
              <w:shd w:val="clear" w:color="auto" w:fill="auto"/>
              <w:spacing w:line="360" w:lineRule="auto"/>
              <w:jc w:val="center"/>
              <w:textAlignment w:val="center"/>
              <w:rPr>
                <w:sz w:val="21"/>
              </w:rPr>
            </w:pPr>
            <w:r>
              <w:rPr>
                <w:sz w:val="21"/>
              </w:rPr>
              <w:t>0.987</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9E99D3">
            <w:pPr>
              <w:shd w:val="clear" w:color="auto" w:fill="auto"/>
              <w:spacing w:line="360" w:lineRule="auto"/>
              <w:jc w:val="center"/>
              <w:textAlignment w:val="center"/>
              <w:rPr>
                <w:sz w:val="21"/>
              </w:rPr>
            </w:pPr>
            <w:r>
              <w:rPr>
                <w:sz w:val="21"/>
              </w:rPr>
              <w:t>0.579</w:t>
            </w:r>
          </w:p>
        </w:tc>
      </w:tr>
      <w:tr w14:paraId="023C3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E93EBC">
            <w:pPr>
              <w:shd w:val="clear" w:color="auto" w:fill="auto"/>
              <w:spacing w:line="360" w:lineRule="auto"/>
              <w:jc w:val="center"/>
              <w:textAlignment w:val="center"/>
              <w:rPr>
                <w:sz w:val="21"/>
              </w:rPr>
            </w:pPr>
            <w:r>
              <w:rPr>
                <w:rFonts w:ascii="楷体" w:hAnsi="楷体" w:eastAsia="楷体" w:cs="楷体"/>
                <w:sz w:val="21"/>
              </w:rPr>
              <w:t>龙门</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08B587">
            <w:pPr>
              <w:shd w:val="clear" w:color="auto" w:fill="auto"/>
              <w:spacing w:line="360" w:lineRule="auto"/>
              <w:jc w:val="center"/>
              <w:textAlignment w:val="center"/>
              <w:rPr>
                <w:sz w:val="21"/>
              </w:rPr>
            </w:pPr>
            <w:r>
              <w:rPr>
                <w:sz w:val="21"/>
              </w:rPr>
              <w:t>6.33</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CBA817">
            <w:pPr>
              <w:shd w:val="clear" w:color="auto" w:fill="auto"/>
              <w:spacing w:line="360" w:lineRule="auto"/>
              <w:jc w:val="center"/>
              <w:textAlignment w:val="center"/>
              <w:rPr>
                <w:sz w:val="21"/>
              </w:rPr>
            </w:pPr>
            <w:r>
              <w:rPr>
                <w:sz w:val="21"/>
              </w:rPr>
              <w:t>1.26</w:t>
            </w:r>
          </w:p>
        </w:tc>
      </w:tr>
      <w:tr w14:paraId="20BCF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E1743E">
            <w:pPr>
              <w:shd w:val="clear" w:color="auto" w:fill="auto"/>
              <w:spacing w:line="360" w:lineRule="auto"/>
              <w:jc w:val="center"/>
              <w:textAlignment w:val="center"/>
              <w:rPr>
                <w:sz w:val="21"/>
              </w:rPr>
            </w:pPr>
            <w:r>
              <w:rPr>
                <w:rFonts w:ascii="楷体" w:hAnsi="楷体" w:eastAsia="楷体" w:cs="楷体"/>
                <w:sz w:val="21"/>
              </w:rPr>
              <w:t>潼关</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39DA9">
            <w:pPr>
              <w:shd w:val="clear" w:color="auto" w:fill="auto"/>
              <w:spacing w:line="360" w:lineRule="auto"/>
              <w:jc w:val="center"/>
              <w:textAlignment w:val="center"/>
              <w:rPr>
                <w:sz w:val="21"/>
              </w:rPr>
            </w:pPr>
            <w:r>
              <w:rPr>
                <w:sz w:val="21"/>
              </w:rPr>
              <w:t>9.21</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8714A8">
            <w:pPr>
              <w:shd w:val="clear" w:color="auto" w:fill="auto"/>
              <w:spacing w:line="360" w:lineRule="auto"/>
              <w:jc w:val="center"/>
              <w:textAlignment w:val="center"/>
              <w:rPr>
                <w:sz w:val="21"/>
              </w:rPr>
            </w:pPr>
            <w:r>
              <w:rPr>
                <w:sz w:val="21"/>
              </w:rPr>
              <w:t>1.61</w:t>
            </w:r>
          </w:p>
        </w:tc>
      </w:tr>
      <w:tr w14:paraId="06733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9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2FD6B8">
            <w:pPr>
              <w:shd w:val="clear" w:color="auto" w:fill="auto"/>
              <w:spacing w:line="360" w:lineRule="auto"/>
              <w:jc w:val="center"/>
              <w:textAlignment w:val="center"/>
              <w:rPr>
                <w:sz w:val="21"/>
              </w:rPr>
            </w:pPr>
            <w:r>
              <w:rPr>
                <w:rFonts w:ascii="楷体" w:hAnsi="楷体" w:eastAsia="楷体" w:cs="楷体"/>
                <w:sz w:val="21"/>
              </w:rPr>
              <w:t>花园口</w:t>
            </w:r>
          </w:p>
        </w:tc>
        <w:tc>
          <w:tcPr>
            <w:tcW w:w="27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3F9A15">
            <w:pPr>
              <w:shd w:val="clear" w:color="auto" w:fill="auto"/>
              <w:spacing w:line="360" w:lineRule="auto"/>
              <w:jc w:val="center"/>
              <w:textAlignment w:val="center"/>
              <w:rPr>
                <w:sz w:val="21"/>
              </w:rPr>
            </w:pPr>
            <w:r>
              <w:rPr>
                <w:sz w:val="21"/>
              </w:rPr>
              <w:t>7.92</w:t>
            </w:r>
          </w:p>
        </w:tc>
        <w:tc>
          <w:tcPr>
            <w:tcW w:w="27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5E8C1E">
            <w:pPr>
              <w:shd w:val="clear" w:color="auto" w:fill="auto"/>
              <w:spacing w:line="360" w:lineRule="auto"/>
              <w:jc w:val="center"/>
              <w:textAlignment w:val="center"/>
              <w:rPr>
                <w:sz w:val="21"/>
              </w:rPr>
            </w:pPr>
            <w:r>
              <w:rPr>
                <w:sz w:val="21"/>
              </w:rPr>
              <w:t>1.51</w:t>
            </w:r>
          </w:p>
        </w:tc>
      </w:tr>
    </w:tbl>
    <w:p w14:paraId="0C9C29B1">
      <w:pPr>
        <w:shd w:val="clear" w:color="auto" w:fill="auto"/>
        <w:spacing w:line="360" w:lineRule="auto"/>
        <w:ind w:firstLine="560"/>
        <w:jc w:val="left"/>
        <w:textAlignment w:val="center"/>
        <w:rPr>
          <w:sz w:val="21"/>
        </w:rPr>
      </w:pPr>
      <w:r>
        <w:rPr>
          <w:rFonts w:ascii="楷体" w:hAnsi="楷体" w:eastAsia="楷体" w:cs="楷体"/>
          <w:sz w:val="21"/>
        </w:rPr>
        <w:t>材料二为探究黄河输沙量</w:t>
      </w:r>
      <w:r>
        <w:rPr>
          <w:sz w:val="21"/>
        </w:rPr>
        <w:t>“10</w:t>
      </w:r>
      <w:r>
        <w:rPr>
          <w:rFonts w:ascii="楷体" w:hAnsi="楷体" w:eastAsia="楷体" w:cs="楷体"/>
          <w:sz w:val="21"/>
        </w:rPr>
        <w:t>年平均</w:t>
      </w:r>
      <w:r>
        <w:rPr>
          <w:sz w:val="21"/>
        </w:rPr>
        <w:t>”</w:t>
      </w:r>
      <w:r>
        <w:rPr>
          <w:rFonts w:ascii="楷体" w:hAnsi="楷体" w:eastAsia="楷体" w:cs="楷体"/>
          <w:sz w:val="21"/>
        </w:rPr>
        <w:t>较</w:t>
      </w:r>
      <w:r>
        <w:rPr>
          <w:sz w:val="21"/>
        </w:rPr>
        <w:t>“</w:t>
      </w:r>
      <w:r>
        <w:rPr>
          <w:rFonts w:ascii="楷体" w:hAnsi="楷体" w:eastAsia="楷体" w:cs="楷体"/>
          <w:sz w:val="21"/>
        </w:rPr>
        <w:t>多年平均</w:t>
      </w:r>
      <w:r>
        <w:rPr>
          <w:sz w:val="21"/>
        </w:rPr>
        <w:t>”</w:t>
      </w:r>
      <w:r>
        <w:rPr>
          <w:rFonts w:ascii="楷体" w:hAnsi="楷体" w:eastAsia="楷体" w:cs="楷体"/>
          <w:sz w:val="21"/>
        </w:rPr>
        <w:t>变化的原因，某校地理兴趣小组设计了两组对比实验（图</w:t>
      </w:r>
      <w:r>
        <w:rPr>
          <w:sz w:val="21"/>
        </w:rPr>
        <w:t>2</w:t>
      </w:r>
      <w:r>
        <w:rPr>
          <w:rFonts w:ascii="楷体" w:hAnsi="楷体" w:eastAsia="楷体" w:cs="楷体"/>
          <w:sz w:val="21"/>
        </w:rPr>
        <w:t>）。</w:t>
      </w:r>
    </w:p>
    <w:p w14:paraId="4E0A76A8">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52750" cy="1323975"/>
            <wp:effectExtent l="0" t="0" r="0" b="9525"/>
            <wp:docPr id="100025" name="图片 100025" descr="@@@5d251a73-acc1-427f-8827-6d18b49bcb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5d251a73-acc1-427f-8827-6d18b49bcb1d"/>
                    <pic:cNvPicPr>
                      <a:picLocks noChangeAspect="1"/>
                    </pic:cNvPicPr>
                  </pic:nvPicPr>
                  <pic:blipFill>
                    <a:blip r:embed="rId20"/>
                    <a:stretch>
                      <a:fillRect/>
                    </a:stretch>
                  </pic:blipFill>
                  <pic:spPr>
                    <a:xfrm>
                      <a:off x="0" y="0"/>
                      <a:ext cx="2952750" cy="1323975"/>
                    </a:xfrm>
                    <a:prstGeom prst="rect">
                      <a:avLst/>
                    </a:prstGeom>
                  </pic:spPr>
                </pic:pic>
              </a:graphicData>
            </a:graphic>
          </wp:inline>
        </w:drawing>
      </w:r>
    </w:p>
    <w:p w14:paraId="5CFAF49B">
      <w:pPr>
        <w:shd w:val="clear" w:color="auto" w:fill="auto"/>
        <w:spacing w:line="360" w:lineRule="auto"/>
        <w:jc w:val="left"/>
        <w:textAlignment w:val="center"/>
        <w:rPr>
          <w:sz w:val="21"/>
        </w:rPr>
      </w:pPr>
      <w:r>
        <w:rPr>
          <w:sz w:val="21"/>
        </w:rPr>
        <w:t>(1)结合图1和上表判断：黄河的泥沙主要从</w:t>
      </w:r>
      <w:r>
        <w:rPr>
          <w:rFonts w:ascii="Times New Roman" w:hAnsi="Times New Roman" w:eastAsia="Times New Roman" w:cs="Times New Roman"/>
          <w:b w:val="0"/>
          <w:sz w:val="21"/>
          <w:u w:val="single"/>
        </w:rPr>
        <w:t xml:space="preserve">    </w:t>
      </w:r>
      <w:r>
        <w:rPr>
          <w:sz w:val="21"/>
        </w:rPr>
        <w:t>到</w:t>
      </w:r>
      <w:r>
        <w:rPr>
          <w:rFonts w:ascii="Times New Roman" w:hAnsi="Times New Roman" w:eastAsia="Times New Roman" w:cs="Times New Roman"/>
          <w:b w:val="0"/>
          <w:sz w:val="21"/>
          <w:u w:val="single"/>
        </w:rPr>
        <w:t xml:space="preserve">    </w:t>
      </w:r>
      <w:r>
        <w:rPr>
          <w:sz w:val="21"/>
        </w:rPr>
        <w:t>（水文站名称）之间的流域汇入黄河干流；黄河输沙量“10年平均”较“多年平均”的变化是</w:t>
      </w:r>
      <w:r>
        <w:rPr>
          <w:rFonts w:ascii="Times New Roman" w:hAnsi="Times New Roman" w:eastAsia="Times New Roman" w:cs="Times New Roman"/>
          <w:b w:val="0"/>
          <w:sz w:val="21"/>
          <w:u w:val="single"/>
        </w:rPr>
        <w:t xml:space="preserve">    </w:t>
      </w:r>
      <w:r>
        <w:rPr>
          <w:sz w:val="21"/>
        </w:rPr>
        <w:t>。</w:t>
      </w:r>
    </w:p>
    <w:p w14:paraId="05EC2A3D">
      <w:pPr>
        <w:shd w:val="clear" w:color="auto" w:fill="auto"/>
        <w:spacing w:line="360" w:lineRule="auto"/>
        <w:jc w:val="left"/>
        <w:textAlignment w:val="center"/>
        <w:rPr>
          <w:sz w:val="21"/>
        </w:rPr>
      </w:pPr>
      <w:r>
        <w:rPr>
          <w:sz w:val="21"/>
        </w:rPr>
        <w:t>(2)图2所示两组对比实验，验证了在其他条件相同情况下，</w:t>
      </w:r>
      <w:r>
        <w:rPr>
          <w:rFonts w:ascii="Times New Roman" w:hAnsi="Times New Roman" w:eastAsia="Times New Roman" w:cs="Times New Roman"/>
          <w:b w:val="0"/>
          <w:sz w:val="21"/>
          <w:u w:val="single"/>
        </w:rPr>
        <w:t xml:space="preserve">    </w:t>
      </w:r>
      <w:r>
        <w:rPr>
          <w:sz w:val="21"/>
        </w:rPr>
        <w:t>、</w:t>
      </w:r>
      <w:r>
        <w:rPr>
          <w:rFonts w:ascii="Times New Roman" w:hAnsi="Times New Roman" w:eastAsia="Times New Roman" w:cs="Times New Roman"/>
          <w:b w:val="0"/>
          <w:sz w:val="21"/>
          <w:u w:val="single"/>
        </w:rPr>
        <w:t xml:space="preserve">    </w:t>
      </w:r>
      <w:r>
        <w:rPr>
          <w:sz w:val="21"/>
        </w:rPr>
        <w:t>因素对流域水土保持的作用。</w:t>
      </w:r>
    </w:p>
    <w:p w14:paraId="1238791D">
      <w:pPr>
        <w:shd w:val="clear" w:color="auto" w:fill="auto"/>
        <w:spacing w:line="360" w:lineRule="auto"/>
        <w:jc w:val="left"/>
        <w:textAlignment w:val="center"/>
        <w:rPr>
          <w:sz w:val="21"/>
        </w:rPr>
      </w:pPr>
      <w:r>
        <w:rPr>
          <w:sz w:val="21"/>
        </w:rPr>
        <w:t>(3)根据实验结果，简述黄河流域采取的治理措施。</w:t>
      </w:r>
    </w:p>
    <w:p w14:paraId="14CFF7AC">
      <w:pPr>
        <w:shd w:val="clear" w:color="auto" w:fill="auto"/>
        <w:spacing w:line="360" w:lineRule="auto"/>
        <w:jc w:val="left"/>
        <w:textAlignment w:val="center"/>
        <w:rPr>
          <w:sz w:val="21"/>
        </w:rPr>
      </w:pPr>
      <w:r>
        <w:rPr>
          <w:sz w:val="21"/>
        </w:rPr>
        <w:t>(4)仅考虑泥沙沉积，据表推测未来黄河三角洲面积可能的变化趋势。</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F55618">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F8228A">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41AF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EB14D5"/>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500E4AF8"/>
    <w:rsid w:val="7E1449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customXml" Target="../customXml/item1.xml"/><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actReview xmlns="http://schemas.wps.cn/vas-ai-hub/contract-review">
  <reviewItems>
    <reviewItem>
      <errorID>c563f102-fbc1-431c-95cc-970df2ce76ee</errorID>
      <errorWord>:</errorWord>
      <group>L1_Format</group>
      <groupName>格式问题</groupName>
      <ability>L2_HalfPunc</ability>
      <abilityName>全半角检查</abilityName>
      <candidateList>
        <item>：</item>
      </candidateList>
      <explain>文本全半角错误。</explain>
      <paraID>416CCC59</paraID>
      <start>2</start>
      <end>3</end>
      <status>unmodified</status>
      <modifiedWord/>
      <trackRevisions>false</trackRevisions>
    </reviewItem>
    <reviewItem>
      <errorID>35f7949d-26fb-40e3-8b6c-44a5f9272268</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11A493F5</paraID>
      <start>0</start>
      <end>2</end>
      <status>unmodified</status>
      <modifiedWord/>
      <trackRevisions>false</trackRevisions>
    </reviewItem>
    <reviewItem>
      <errorID>77bc4400-b5ec-4519-85d1-deebb6bfe071</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2C8705D8</paraID>
      <start>0</start>
      <end>2</end>
      <status>unmodified</status>
      <modifiedWord/>
      <trackRevisions>false</trackRevisions>
    </reviewItem>
    <reviewItem>
      <errorID>82fa952c-7cf4-43a4-b66d-9bb7632bd5f8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5BBF31E9</paraID>
      <start>0</start>
      <end>2</end>
      <status>unmodified</status>
      <modifiedWord/>
      <trackRevisions>false</trackRevisions>
    </reviewItem>
    <reviewItem>
      <errorID>f57f83f9-00be-448c-8103-267730bf1484</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10E0A5E1</paraID>
      <start>0</start>
      <end>2</end>
      <status>unmodified</status>
      <modifiedWord/>
      <trackRevisions>false</trackRevisions>
    </reviewItem>
    <reviewItem>
      <errorID>357a8ba0-0a3d-4928-9bc3-0abade28d194</errorID>
      <errorWord>5．</errorWord>
      <group>L1_Format</group>
      <groupName>格式问题</groupName>
      <ability>L2_Ordinal</ability>
      <abilityName>序号格式</abilityName>
      <candidateList>
        <item>5.</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11BADC99</paraID>
      <start>0</start>
      <end>2</end>
      <status>unmodified</status>
      <modifiedWord/>
      <trackRevisions>false</trackRevisions>
    </reviewItem>
    <reviewItem>
      <errorID>f2cb7998-c568-4ab2-8e10-a4f9be32caf5</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702EAC22</paraID>
      <start>0</start>
      <end>2</end>
      <status>unmodified</status>
      <modifiedWord/>
      <trackRevisions>false</trackRevisions>
    </reviewItem>
    <reviewItem>
      <errorID>8525982a-2d20-41d2-a296-7c032bb78e96</errorID>
      <errorWord>7．</errorWord>
      <group>L1_Format</group>
      <groupName>格式问题</groupName>
      <ability>L2_Ordinal</ability>
      <abilityName>序号格式</abilityName>
      <candidateList>
        <item>7.</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5F449C52</paraID>
      <start>0</start>
      <end>2</end>
      <status>unmodified</status>
      <modifiedWord/>
      <trackRevisions>false</trackRevisions>
    </reviewItem>
    <reviewItem>
      <errorID>b6db21c5-208e-45e2-b019-418224e12d3f</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56F5AE9A</paraID>
      <start>0</start>
      <end>2</end>
      <status>unmodified</status>
      <modifiedWord/>
      <trackRevisions>false</trackRevisions>
    </reviewItem>
    <reviewItem>
      <errorID>ed353f03-f396-4d36-b3ba-5c3714dc929d</errorID>
      <errorWord>9．</errorWord>
      <group>L1_Format</group>
      <groupName>格式问题</groupName>
      <ability>L2_Ordinal</ability>
      <abilityName>序号格式</abilityName>
      <candidateList>
        <item>9.</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4F0BDC28</paraID>
      <start>0</start>
      <end>2</end>
      <status>unmodified</status>
      <modifiedWord/>
      <trackRevisions>false</trackRevisions>
    </reviewItem>
    <reviewItem>
      <errorID>518c6b97-1669-4474-b17b-eb61f10dc585</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62C38DE</paraID>
      <start>0</start>
      <end>3</end>
      <status>unmodified</status>
      <modifiedWord/>
      <trackRevisions>false</trackRevisions>
    </reviewItem>
    <reviewItem>
      <errorID>e3950780-5383-499e-8b5b-f0c2eaed15f2</errorID>
      <errorWord>11．</errorWord>
      <group>L1_Format</group>
      <groupName>格式问题</groupName>
      <ability>L2_Ordinal</ability>
      <abilityName>序号格式</abilityName>
      <candidateList>
        <item>11.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4BABE917</paraID>
      <start>0</start>
      <end>3</end>
      <status>unmodified</status>
      <modifiedWord/>
      <trackRevisions>false</trackRevisions>
    </reviewItem>
    <reviewItem>
      <errorID>1376395a-8171-4f77-9f56-667a8d071109</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FFF773B</paraID>
      <start>0</start>
      <end>3</end>
      <status>unmodified</status>
      <modifiedWord/>
      <trackRevisions>false</trackRevisions>
    </reviewItem>
    <reviewItem>
      <errorID>bb0db8af-ae18-45bb-8790-49dc13bcedf2</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6BA0A886</paraID>
      <start>0</start>
      <end>3</end>
      <status>unmodified</status>
      <modifiedWord/>
      <trackRevisions>false</trackRevisions>
    </reviewItem>
    <reviewItem>
      <errorID>973abf2c-5640-4b7e-ab33-2a9b43ae5a5f</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41993A5E</paraID>
      <start>0</start>
      <end>3</end>
      <status>unmodified</status>
      <modifiedWord/>
      <trackRevisions>false</trackRevisions>
    </reviewItem>
    <reviewItem>
      <errorID>aa7e6e1e-367c-44b1-b134-98bf07c66b2b</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EA281D5</paraID>
      <start>0</start>
      <end>3</end>
      <status>unmodified</status>
      <modifiedWord/>
      <trackRevisions>false</trackRevisions>
    </reviewItem>
    <reviewItem>
      <errorID>4e3d03d4-1c59-4c7a-89e3-105d4f20ce35</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7B107864</paraID>
      <start>0</start>
      <end>3</end>
      <status>unmodified</status>
      <modifiedWord/>
      <trackRevisions>false</trackRevisions>
    </reviewItem>
    <reviewItem>
      <errorID>bc6b65f6-d98c-43eb-a7c2-93ae08178124</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53B1E603</paraID>
      <start>0</start>
      <end>3</end>
      <status>unmodified</status>
      <modifiedWord/>
      <trackRevisions>false</trackRevisions>
    </reviewItem>
    <reviewItem>
      <errorID>3e14de45-9975-4bf8-8714-a789e24185cf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14338E7A</paraID>
      <start>0</start>
      <end>3</end>
      <status>unmodified</status>
      <modifiedWord/>
      <trackRevisions>false</trackRevisions>
    </reviewItem>
    <reviewItem>
      <errorID>2dea1fcd-7e2e-4e73-ac20-fbaa36aee587</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65714AB9</paraID>
      <start>0</start>
      <end>3</end>
      <status>unmodified</status>
      <modifiedWord/>
      <trackRevisions>false</trackRevisions>
    </reviewItem>
    <reviewItem>
      <errorID>906b5b36-1c43-4a9e-9e5a-5c40018c2e17</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42854019</paraID>
      <start>0</start>
      <end>3</end>
      <status>unmodified</status>
      <modifiedWord/>
      <trackRevisions>false</trackRevisions>
    </reviewItem>
    <reviewItem>
      <errorID>6c029f13-8136-4dba-aed3-efe7d10ae40b</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7B550F69</paraID>
      <start>0</start>
      <end>3</end>
      <status>unmodified</status>
      <modifiedWord/>
      <trackRevisions>false</trackRevisions>
    </reviewItem>
    <reviewItem>
      <errorID>3072f8f7-d51e-49fb-873b-7c141578b1bb</errorID>
      <errorWord>(1)</errorWord>
      <group>L1_Format</group>
      <groupName>格式问题</groupName>
      <ability>L2_Ordinal</ability>
      <abilityName>序号格式</abilityName>
      <candidateList>
        <item>（1）</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5CFAF49B</paraID>
      <start>0</start>
      <end>3</end>
      <status>unmodified</status>
      <modifiedWord/>
      <trackRevisions>false</trackRevisions>
    </reviewItem>
    <reviewItem>
      <errorID>fac16d21-9ba8-4a8b-8408-7a17dfc86efb</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 5EC2A3D</paraID>
      <start>0</start>
      <end>3</end>
      <status>unmodified</status>
      <modifiedWord/>
      <trackRevisions>false</trackRevisions>
    </reviewItem>
    <reviewItem>
      <errorID>ba1f97b2-e08d-4169-a8a2-46b033ff18e8</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1238791D</paraID>
      <start>0</start>
      <end>3</end>
      <status>unmodified</status>
      <modifiedWord/>
      <trackRevisions>false</trackRevisions>
    </reviewItem>
    <reviewItem>
      <errorID>7c6d8ee6-4f77-4448-839f-df5cbbf84bd0</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37B7F1ED</paraID>
      <start>0</start>
      <end>3</end>
      <status>unmodified</status>
      <modifiedWord/>
      <trackRevisions>false</trackRevisions>
    </reviewItem>
    <reviewItem>
      <errorID>f7673660-e2e5-41eb-8c45-20225203826f</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40785966</paraID>
      <start>0</start>
      <end>2</end>
      <status>unmodified</status>
      <modifiedWord/>
      <trackRevisions>false</trackRevisions>
    </reviewItem>
    <reviewItem>
      <errorID>95b31487-3276-47ec-a9ea-9d09db38657d</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67BDCD34</paraID>
      <start>0</start>
      <end>2</end>
      <status>unmodified</status>
      <modifiedWord/>
      <trackRevisions>false</trackRevisions>
    </reviewItem>
    <reviewItem>
      <errorID>9e75a651-e6c2-4a03-a42b-e0db7524b871</errorID>
      <errorWord>6．</errorWord>
      <group>L1_Format</group>
      <groupName>格式问题</groupName>
      <ability>L2_Ordinal</ability>
      <abilityName>序号格式</abilityName>
      <candidateList>
        <item>6.</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79C0A5C6</paraID>
      <start>0</start>
      <end>2</end>
      <status>unmodified</status>
      <modifiedWord/>
      <trackRevisions>false</trackRevisions>
    </reviewItem>
    <reviewItem>
      <errorID>097b98b5-d5f5-4ac1-ade1-6192a977e4bd</errorID>
      <errorWord>8．</errorWord>
      <group>L1_Format</group>
      <groupName>格式问题</groupName>
      <ability>L2_Ordinal</ability>
      <abilityName>序号格式</abilityName>
      <candidateList>
        <item>8.</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59B790EC</paraID>
      <start>0</start>
      <end>2</end>
      <status>unmodified</status>
      <modifiedWord/>
      <trackRevisions>false</trackRevisions>
    </reviewItem>
    <reviewItem>
      <errorID>8472d936-f918-4af8-967f-f6d552b44c2e</errorID>
      <errorWord>10．</errorWord>
      <group>L1_Format</group>
      <groupName>格式问题</groupName>
      <ability>L2_Ordinal</ability>
      <abilityName>序号格式</abilityName>
      <candidateList>
        <item>10.</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2A073624</paraID>
      <start>0</start>
      <end>3</end>
      <status>unmodified</status>
      <modifiedWord/>
      <trackRevisions>false</trackRevisions>
    </reviewItem>
    <reviewItem>
      <errorID>a5d6d424-924f-47cf-baf9-13e539996ca6</errorID>
      <errorWord>)</errorWord>
      <group>L1_Format</group>
      <groupName>格式问题</groupName>
      <ability>L2_HalfPunc</ability>
      <abilityName>全半角检查</abilityName>
      <candidateList>
        <item>）</item>
      </candidateList>
      <explain>文本全半角错误。</explain>
      <paraID>7AACFE7A</paraID>
      <start>5</start>
      <end>6</end>
      <status>unmodified</status>
      <modifiedWord/>
      <trackRevisions>false</trackRevisions>
    </reviewItem>
    <reviewItem>
      <errorID>4c69dcf5-125c-4568-9640-166ff240bc93</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6BD3F1C2</paraID>
      <start>0</start>
      <end>3</end>
      <status>unmodified</status>
      <modifiedWord/>
      <trackRevisions>false</trackRevisions>
    </reviewItem>
    <reviewItem>
      <errorID>deb71bf2-c846-4a5d-bfeb-45dc3af1d231</errorID>
      <errorWord>12．</errorWord>
      <group>L1_Format</group>
      <groupName>格式问题</groupName>
      <ability>L2_Ordinal</ability>
      <abilityName>序号格式</abilityName>
      <candidateList>
        <item>12.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42058B8B</paraID>
      <start>0</start>
      <end>3</end>
      <status>unmodified</status>
      <modifiedWord/>
      <trackRevisions>false</trackRevisions>
    </reviewItem>
    <reviewItem>
      <errorID>ea1e0f4b-0694-4338-8a24-a92fe942bd34</errorID>
      <errorWord>)</errorWord>
      <group>L1_Format</group>
      <groupName>格式问题</groupName>
      <ability>L2_HalfPunc</ability>
      <abilityName>全半角检查</abilityName>
      <candidateList>
        <item>）</item>
      </candidateList>
      <explain>文本全半角错误。</explain>
      <paraID>42058B8B</paraID>
      <start>5</start>
      <end>6</end>
      <status>unmodified</status>
      <modifiedWord/>
      <trackRevisions>false</trackRevisions>
    </reviewItem>
    <reviewItem>
      <errorID>9c771c73-d19f-437d-8be4-cde40f7fdee6</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30E50B4C</paraID>
      <start>0</start>
      <end>3</end>
      <status>unmodified</status>
      <modifiedWord/>
      <trackRevisions>false</trackRevisions>
    </reviewItem>
    <reviewItem>
      <errorID>d150791a-b33e-4c69-a930-a098fe7c1755</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5548208B</paraID>
      <start>0</start>
      <end>3</end>
      <status>unmodified</status>
      <modifiedWord/>
      <trackRevisions>false</trackRevisions>
    </reviewItem>
    <reviewItem>
      <errorID>051278c4-ad01-4cdd-b892-98dcd93cdf95</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486D730C</paraID>
      <start>0</start>
      <end>3</end>
      <status>unmodified</status>
      <modifiedWord/>
      <trackRevisions>false</trackRevisions>
    </reviewItem>
    <reviewItem>
      <errorID>68ef4093-5f63-4f23-b716-48bba8c6c1c6</errorID>
      <errorWord>13．</errorWord>
      <group>L1_Format</group>
      <groupName>格式问题</groupName>
      <ability>L2_Ordinal</ability>
      <abilityName>序号格式</abilityName>
      <candidateList>
        <item>13.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7A4CB8E1</paraID>
      <start>0</start>
      <end>3</end>
      <status>unmodified</status>
      <modifiedWord/>
      <trackRevisions>false</trackRevisions>
    </reviewItem>
    <reviewItem>
      <errorID>c44b6f2c-9e11-4e64-8853-09c378967026</errorID>
      <errorWord>(2)</errorWord>
      <group>L1_Format</group>
      <groupName>格式问题</groupName>
      <ability>L2_Ordinal</ability>
      <abilityName>序号格式</abilityName>
      <candidateList>
        <item>（2）</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6B5F1DE1</paraID>
      <start>0</start>
      <end>3</end>
      <status>unmodified</status>
      <modifiedWord/>
      <trackRevisions>false</trackRevisions>
    </reviewItem>
    <reviewItem>
      <errorID>9bbcd26d-a250-4f58-8bcf-928b78741911</errorID>
      <errorWord>(3)</errorWord>
      <group>L1_Format</group>
      <groupName>格式问题</groupName>
      <ability>L2_Ordinal</ability>
      <abilityName>序号格式</abilityName>
      <candidateList>
        <item>（3）</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71368513</paraID>
      <start>0</start>
      <end>3</end>
      <status>unmodified</status>
      <modifiedWord/>
      <trackRevisions>false</trackRevisions>
    </reviewItem>
    <reviewItem>
      <errorID>bb7b2e4e-816a-45d5-9390-93f0e0973f5b</errorID>
      <errorWord>(4)</errorWord>
      <group>L1_Format</group>
      <groupName>格式问题</groupName>
      <ability>L2_Ordinal</ability>
      <abilityName>序号格式</abilityName>
      <candidateList>
        <item>（4）</item>
      </candidateList>
      <explain>中文书写环境建议使用国标要求书写序次语。根据标点符号用法（GB/T 15834—2011）序次语书写要求，通常第一层是带有顿号的汉字数字，如“一、”；第二层是带括号（全角）的汉字数字，如“（一）”；第三层是带下脚点（半角）的阿拉伯数字，如“1.”；第四层是带括号（全角）的阿拉伯数字，如“（1）”“1）”；其后可以按照书写者意愿输入带圈的阿拉伯数字或大小写拉丁字母，如“①”“ a.”。</explain>
      <paraID>43F98513</paraID>
      <start>0</start>
      <end>3</end>
      <status>unmodified</status>
      <modifiedWord/>
      <trackRevisions>false</trackRevisions>
    </reviewItem>
  </reviewItems>
  <config/>
</contractReview>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38deda19-5167-4141-a672-a19aa6422df2}">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6</Pages>
  <Words>1864</Words>
  <Characters>2027</Characters>
  <Lines>0</Lines>
  <Paragraphs>0</Paragraphs>
  <TotalTime>5</TotalTime>
  <ScaleCrop>false</ScaleCrop>
  <LinksUpToDate>false</LinksUpToDate>
  <CharactersWithSpaces>2145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2026-01-22T09:31:35Z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52958efd746946c29e4a379df9dba846otu4nzcwmtq2</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4E30BDDF240140D3B3DA2D19B8B9AC2C_12</vt:lpwstr>
  </property>
</Properties>
</file>