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2025年山西省中考地理试卷</w:t>
      </w:r>
    </w:p>
    <w:p w14:paraId="06492806">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125E5F7E">
      <w:pPr>
        <w:jc w:val="center"/>
        <w:textAlignment w:val="center"/>
        <w:rPr>
          <w:rFonts w:ascii="黑体" w:hAnsi="黑体" w:eastAsia="黑体" w:cs="黑体"/>
          <w:b/>
          <w:i w:val="0"/>
          <w:color w:val="000000"/>
          <w:sz w:val="30"/>
        </w:rPr>
      </w:pPr>
    </w:p>
    <w:p w14:paraId="6B0266DF">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109BFDDE">
      <w:pPr>
        <w:shd w:val="clear" w:color="auto" w:fill="auto"/>
        <w:spacing w:line="360" w:lineRule="auto"/>
        <w:ind w:firstLine="560"/>
        <w:jc w:val="left"/>
        <w:textAlignment w:val="center"/>
      </w:pPr>
      <w:r>
        <w:rPr>
          <w:rFonts w:ascii="楷体" w:hAnsi="楷体" w:eastAsia="楷体" w:cs="楷体"/>
          <w:sz w:val="21"/>
        </w:rPr>
        <w:t>古诗词是中华文化的瑰宝，蕴含着丰富的地理知识，能让我们跨越时空，仰望日月星辰的浩瀚、感受山川湖海的壮美。下图示意诗歌《观沧海》和中国在地球上的位置。据此完成下面小题。</w:t>
      </w:r>
    </w:p>
    <w:p w14:paraId="4B484B82">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695575" cy="1314450"/>
            <wp:effectExtent l="0" t="0" r="9525" b="0"/>
            <wp:docPr id="100003" name="图片 100003" descr="@@@93376bbb-4bba-4c91-adb9-fcf71f0f9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3376bbb-4bba-4c91-adb9-fcf71f0f90d0"/>
                    <pic:cNvPicPr>
                      <a:picLocks noChangeAspect="1"/>
                    </pic:cNvPicPr>
                  </pic:nvPicPr>
                  <pic:blipFill>
                    <a:blip r:embed="rId9"/>
                    <a:stretch>
                      <a:fillRect/>
                    </a:stretch>
                  </pic:blipFill>
                  <pic:spPr>
                    <a:xfrm>
                      <a:off x="0" y="0"/>
                      <a:ext cx="2695575" cy="131445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647825" cy="1647825"/>
            <wp:effectExtent l="0" t="0" r="9525" b="9525"/>
            <wp:docPr id="100005" name="图片 100005" descr="@@@3d152504-67fe-49eb-9094-b036142af8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d152504-67fe-49eb-9094-b036142af83c"/>
                    <pic:cNvPicPr>
                      <a:picLocks noChangeAspect="1"/>
                    </pic:cNvPicPr>
                  </pic:nvPicPr>
                  <pic:blipFill>
                    <a:blip r:embed="rId10"/>
                    <a:stretch>
                      <a:fillRect/>
                    </a:stretch>
                  </pic:blipFill>
                  <pic:spPr>
                    <a:xfrm>
                      <a:off x="0" y="0"/>
                      <a:ext cx="1647825" cy="1647825"/>
                    </a:xfrm>
                    <a:prstGeom prst="rect">
                      <a:avLst/>
                    </a:prstGeom>
                  </pic:spPr>
                </pic:pic>
              </a:graphicData>
            </a:graphic>
          </wp:inline>
        </w:drawing>
      </w:r>
    </w:p>
    <w:p w14:paraId="70CBB0FF">
      <w:pPr>
        <w:shd w:val="clear" w:color="auto" w:fill="auto"/>
        <w:spacing w:line="360" w:lineRule="auto"/>
        <w:jc w:val="left"/>
        <w:textAlignment w:val="center"/>
        <w:rPr>
          <w:sz w:val="21"/>
        </w:rPr>
      </w:pPr>
      <w:r>
        <w:rPr>
          <w:sz w:val="21"/>
        </w:rPr>
        <w:t>1．“东临碣石，以观沧海”中，“沧海”（今渤海）以东的大洋是（</w:t>
      </w:r>
      <w:r>
        <w:rPr>
          <w:rFonts w:ascii="Times New Roman" w:hAnsi="Times New Roman" w:eastAsia="Times New Roman" w:cs="Times New Roman"/>
          <w:kern w:val="0"/>
          <w:sz w:val="24"/>
          <w:szCs w:val="24"/>
        </w:rPr>
        <w:t>   </w:t>
      </w:r>
      <w:r>
        <w:rPr>
          <w:sz w:val="21"/>
        </w:rPr>
        <w:t>）</w:t>
      </w:r>
    </w:p>
    <w:p w14:paraId="7B487494">
      <w:pPr>
        <w:shd w:val="clear" w:color="auto" w:fill="auto"/>
        <w:tabs>
          <w:tab w:val="left" w:pos="2078"/>
          <w:tab w:val="left" w:pos="4156"/>
          <w:tab w:val="left" w:pos="6234"/>
        </w:tabs>
        <w:spacing w:line="360" w:lineRule="auto"/>
        <w:ind w:left="300"/>
        <w:jc w:val="left"/>
        <w:textAlignment w:val="center"/>
        <w:rPr>
          <w:sz w:val="21"/>
        </w:rPr>
      </w:pPr>
      <w:r>
        <w:rPr>
          <w:sz w:val="21"/>
        </w:rPr>
        <w:t>A．太平洋</w:t>
      </w:r>
      <w:r>
        <w:rPr>
          <w:sz w:val="21"/>
        </w:rPr>
        <w:tab/>
      </w:r>
      <w:r>
        <w:rPr>
          <w:sz w:val="21"/>
        </w:rPr>
        <w:t>B．大西洋</w:t>
      </w:r>
      <w:r>
        <w:rPr>
          <w:sz w:val="21"/>
        </w:rPr>
        <w:tab/>
      </w:r>
      <w:r>
        <w:rPr>
          <w:sz w:val="21"/>
        </w:rPr>
        <w:t>C．印度洋</w:t>
      </w:r>
      <w:r>
        <w:rPr>
          <w:sz w:val="21"/>
        </w:rPr>
        <w:tab/>
      </w:r>
      <w:r>
        <w:rPr>
          <w:sz w:val="21"/>
        </w:rPr>
        <w:t>D．北冰洋</w:t>
      </w:r>
    </w:p>
    <w:p w14:paraId="286FECC8">
      <w:pPr>
        <w:shd w:val="clear" w:color="auto" w:fill="auto"/>
        <w:spacing w:line="360" w:lineRule="auto"/>
        <w:jc w:val="left"/>
        <w:textAlignment w:val="center"/>
        <w:rPr>
          <w:sz w:val="21"/>
        </w:rPr>
      </w:pPr>
      <w:r>
        <w:rPr>
          <w:sz w:val="21"/>
        </w:rPr>
        <w:t>2．“日月之行，若出其中”，日月仿佛每天从沧海中升起的现象主要是由于（</w:t>
      </w:r>
      <w:r>
        <w:rPr>
          <w:rFonts w:ascii="Times New Roman" w:hAnsi="Times New Roman" w:eastAsia="Times New Roman" w:cs="Times New Roman"/>
          <w:kern w:val="0"/>
          <w:sz w:val="24"/>
          <w:szCs w:val="24"/>
        </w:rPr>
        <w:t>   </w:t>
      </w:r>
      <w:r>
        <w:rPr>
          <w:sz w:val="21"/>
        </w:rPr>
        <w:t>）</w:t>
      </w:r>
    </w:p>
    <w:p w14:paraId="50E5E3C1">
      <w:pPr>
        <w:shd w:val="clear" w:color="auto" w:fill="auto"/>
        <w:tabs>
          <w:tab w:val="left" w:pos="2078"/>
          <w:tab w:val="left" w:pos="4156"/>
          <w:tab w:val="left" w:pos="6234"/>
        </w:tabs>
        <w:spacing w:line="360" w:lineRule="auto"/>
        <w:ind w:left="300"/>
        <w:jc w:val="left"/>
        <w:textAlignment w:val="center"/>
        <w:rPr>
          <w:sz w:val="21"/>
        </w:rPr>
      </w:pPr>
      <w:r>
        <w:rPr>
          <w:sz w:val="21"/>
        </w:rPr>
        <w:t>A．海陆变迁</w:t>
      </w:r>
      <w:r>
        <w:rPr>
          <w:sz w:val="21"/>
        </w:rPr>
        <w:tab/>
      </w:r>
      <w:r>
        <w:rPr>
          <w:sz w:val="21"/>
        </w:rPr>
        <w:t>B．大陆漂移</w:t>
      </w:r>
      <w:r>
        <w:rPr>
          <w:sz w:val="21"/>
        </w:rPr>
        <w:tab/>
      </w:r>
      <w:r>
        <w:rPr>
          <w:sz w:val="21"/>
        </w:rPr>
        <w:t>C．地球自转</w:t>
      </w:r>
      <w:r>
        <w:rPr>
          <w:sz w:val="21"/>
        </w:rPr>
        <w:tab/>
      </w:r>
      <w:r>
        <w:rPr>
          <w:sz w:val="21"/>
        </w:rPr>
        <w:t>D．地球公转</w:t>
      </w:r>
    </w:p>
    <w:p w14:paraId="46DBDBA2">
      <w:pPr>
        <w:shd w:val="clear" w:color="auto" w:fill="auto"/>
        <w:tabs>
          <w:tab w:val="left" w:pos="2078"/>
          <w:tab w:val="left" w:pos="4156"/>
          <w:tab w:val="left" w:pos="6234"/>
        </w:tabs>
        <w:spacing w:line="360" w:lineRule="auto"/>
        <w:ind w:left="300"/>
        <w:jc w:val="left"/>
        <w:textAlignment w:val="center"/>
        <w:rPr>
          <w:sz w:val="21"/>
        </w:rPr>
      </w:pPr>
    </w:p>
    <w:p w14:paraId="31DF7167">
      <w:pPr>
        <w:shd w:val="clear" w:color="auto" w:fill="auto"/>
        <w:spacing w:line="360" w:lineRule="auto"/>
        <w:ind w:firstLine="560"/>
        <w:jc w:val="left"/>
        <w:textAlignment w:val="center"/>
        <w:rPr>
          <w:sz w:val="21"/>
        </w:rPr>
      </w:pPr>
      <w:r>
        <w:rPr>
          <w:rFonts w:ascii="楷体" w:hAnsi="楷体" w:eastAsia="楷体" w:cs="楷体"/>
          <w:sz w:val="21"/>
        </w:rPr>
        <w:t>南极内陆冰盖的最高点被称为冰穹A，是南极地区最有科学考察价值的地点之一。下图示意冰穹A及中国南极科学考察站的位置。据此完成下面小题。</w:t>
      </w:r>
    </w:p>
    <w:p w14:paraId="3738746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86150" cy="2495550"/>
            <wp:effectExtent l="0" t="0" r="0" b="0"/>
            <wp:docPr id="100007" name="图片 100007" descr="@@@af77cbfa-1691-4a7c-9211-33a1117b25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af77cbfa-1691-4a7c-9211-33a1117b251f"/>
                    <pic:cNvPicPr>
                      <a:picLocks noChangeAspect="1"/>
                    </pic:cNvPicPr>
                  </pic:nvPicPr>
                  <pic:blipFill>
                    <a:blip r:embed="rId11"/>
                    <a:stretch>
                      <a:fillRect/>
                    </a:stretch>
                  </pic:blipFill>
                  <pic:spPr>
                    <a:xfrm>
                      <a:off x="0" y="0"/>
                      <a:ext cx="3486150" cy="2495550"/>
                    </a:xfrm>
                    <a:prstGeom prst="rect">
                      <a:avLst/>
                    </a:prstGeom>
                  </pic:spPr>
                </pic:pic>
              </a:graphicData>
            </a:graphic>
          </wp:inline>
        </w:drawing>
      </w:r>
    </w:p>
    <w:p w14:paraId="75C084E9">
      <w:pPr>
        <w:shd w:val="clear" w:color="auto" w:fill="auto"/>
        <w:spacing w:line="360" w:lineRule="auto"/>
        <w:jc w:val="left"/>
        <w:textAlignment w:val="center"/>
        <w:rPr>
          <w:sz w:val="21"/>
        </w:rPr>
      </w:pPr>
      <w:r>
        <w:rPr>
          <w:sz w:val="21"/>
        </w:rPr>
        <w:t>3．我国在冰穹A建立的科学考察站是（</w:t>
      </w:r>
      <w:r>
        <w:rPr>
          <w:rFonts w:ascii="Times New Roman" w:hAnsi="Times New Roman" w:eastAsia="Times New Roman" w:cs="Times New Roman"/>
          <w:kern w:val="0"/>
          <w:sz w:val="24"/>
          <w:szCs w:val="24"/>
        </w:rPr>
        <w:t>   </w:t>
      </w:r>
      <w:r>
        <w:rPr>
          <w:sz w:val="21"/>
        </w:rPr>
        <w:t>）</w:t>
      </w:r>
    </w:p>
    <w:p w14:paraId="3C570FAB">
      <w:pPr>
        <w:shd w:val="clear" w:color="auto" w:fill="auto"/>
        <w:tabs>
          <w:tab w:val="left" w:pos="2078"/>
          <w:tab w:val="left" w:pos="4156"/>
          <w:tab w:val="left" w:pos="6234"/>
        </w:tabs>
        <w:spacing w:line="360" w:lineRule="auto"/>
        <w:ind w:left="300"/>
        <w:jc w:val="left"/>
        <w:textAlignment w:val="center"/>
        <w:rPr>
          <w:sz w:val="21"/>
        </w:rPr>
      </w:pPr>
      <w:r>
        <w:rPr>
          <w:sz w:val="21"/>
        </w:rPr>
        <w:t>A．长城站</w:t>
      </w:r>
      <w:r>
        <w:rPr>
          <w:sz w:val="21"/>
        </w:rPr>
        <w:tab/>
      </w:r>
      <w:r>
        <w:rPr>
          <w:sz w:val="21"/>
        </w:rPr>
        <w:t>B．昆仑站</w:t>
      </w:r>
      <w:r>
        <w:rPr>
          <w:sz w:val="21"/>
        </w:rPr>
        <w:tab/>
      </w:r>
      <w:r>
        <w:rPr>
          <w:sz w:val="21"/>
        </w:rPr>
        <w:t>C．泰山站</w:t>
      </w:r>
      <w:r>
        <w:rPr>
          <w:sz w:val="21"/>
        </w:rPr>
        <w:tab/>
      </w:r>
      <w:r>
        <w:rPr>
          <w:sz w:val="21"/>
        </w:rPr>
        <w:t>D．秦岭站</w:t>
      </w:r>
    </w:p>
    <w:p w14:paraId="754F100D">
      <w:pPr>
        <w:shd w:val="clear" w:color="auto" w:fill="auto"/>
        <w:spacing w:line="360" w:lineRule="auto"/>
        <w:jc w:val="left"/>
        <w:textAlignment w:val="center"/>
        <w:rPr>
          <w:sz w:val="21"/>
        </w:rPr>
      </w:pPr>
      <w:r>
        <w:rPr>
          <w:sz w:val="21"/>
        </w:rPr>
        <w:t>4．冰穹A位于南极点的（</w:t>
      </w:r>
      <w:r>
        <w:rPr>
          <w:rFonts w:ascii="Times New Roman" w:hAnsi="Times New Roman" w:eastAsia="Times New Roman" w:cs="Times New Roman"/>
          <w:kern w:val="0"/>
          <w:sz w:val="24"/>
          <w:szCs w:val="24"/>
        </w:rPr>
        <w:t>   </w:t>
      </w:r>
      <w:r>
        <w:rPr>
          <w:sz w:val="21"/>
        </w:rPr>
        <w:t>）</w:t>
      </w:r>
    </w:p>
    <w:p w14:paraId="153574CA">
      <w:pPr>
        <w:shd w:val="clear" w:color="auto" w:fill="auto"/>
        <w:tabs>
          <w:tab w:val="left" w:pos="2078"/>
          <w:tab w:val="left" w:pos="4156"/>
          <w:tab w:val="left" w:pos="6234"/>
        </w:tabs>
        <w:spacing w:line="360" w:lineRule="auto"/>
        <w:ind w:left="300"/>
        <w:jc w:val="left"/>
        <w:textAlignment w:val="center"/>
        <w:rPr>
          <w:sz w:val="21"/>
        </w:rPr>
      </w:pPr>
      <w:r>
        <w:rPr>
          <w:sz w:val="21"/>
        </w:rPr>
        <w:t>A．东北</w:t>
      </w:r>
      <w:r>
        <w:rPr>
          <w:sz w:val="21"/>
        </w:rPr>
        <w:tab/>
      </w:r>
      <w:r>
        <w:rPr>
          <w:sz w:val="21"/>
        </w:rPr>
        <w:t>B．西南</w:t>
      </w:r>
      <w:r>
        <w:rPr>
          <w:sz w:val="21"/>
        </w:rPr>
        <w:tab/>
      </w:r>
      <w:r>
        <w:rPr>
          <w:sz w:val="21"/>
        </w:rPr>
        <w:t>C．正北</w:t>
      </w:r>
      <w:r>
        <w:rPr>
          <w:sz w:val="21"/>
        </w:rPr>
        <w:tab/>
      </w:r>
      <w:r>
        <w:rPr>
          <w:sz w:val="21"/>
        </w:rPr>
        <w:t>D．正南</w:t>
      </w:r>
    </w:p>
    <w:p w14:paraId="3D5B2C78">
      <w:pPr>
        <w:shd w:val="clear" w:color="auto" w:fill="auto"/>
        <w:spacing w:line="360" w:lineRule="auto"/>
        <w:jc w:val="left"/>
        <w:textAlignment w:val="center"/>
        <w:rPr>
          <w:sz w:val="21"/>
        </w:rPr>
      </w:pPr>
      <w:r>
        <w:rPr>
          <w:sz w:val="21"/>
        </w:rPr>
        <w:t>5．最适合在冰穹A开展的科考任务是（</w:t>
      </w:r>
      <w:r>
        <w:rPr>
          <w:rFonts w:ascii="Times New Roman" w:hAnsi="Times New Roman" w:eastAsia="Times New Roman" w:cs="Times New Roman"/>
          <w:kern w:val="0"/>
          <w:sz w:val="24"/>
          <w:szCs w:val="24"/>
        </w:rPr>
        <w:t>   </w:t>
      </w:r>
      <w:r>
        <w:rPr>
          <w:sz w:val="21"/>
        </w:rPr>
        <w:t>）</w:t>
      </w:r>
    </w:p>
    <w:p w14:paraId="73C68BF6">
      <w:pPr>
        <w:shd w:val="clear" w:color="auto" w:fill="auto"/>
        <w:tabs>
          <w:tab w:val="left" w:pos="2078"/>
          <w:tab w:val="left" w:pos="4156"/>
          <w:tab w:val="left" w:pos="6234"/>
        </w:tabs>
        <w:spacing w:line="360" w:lineRule="auto"/>
        <w:ind w:left="300"/>
        <w:jc w:val="left"/>
        <w:textAlignment w:val="center"/>
        <w:rPr>
          <w:sz w:val="21"/>
        </w:rPr>
      </w:pPr>
      <w:r>
        <w:rPr>
          <w:sz w:val="21"/>
        </w:rPr>
        <w:t>A．南太平洋生物研究</w:t>
      </w:r>
      <w:r>
        <w:rPr>
          <w:sz w:val="21"/>
        </w:rPr>
        <w:tab/>
      </w:r>
      <w:r>
        <w:rPr>
          <w:sz w:val="21"/>
        </w:rPr>
        <w:t>B．深冰芯钻探工程</w:t>
      </w:r>
      <w:r>
        <w:rPr>
          <w:sz w:val="21"/>
        </w:rPr>
        <w:tab/>
      </w:r>
      <w:r>
        <w:rPr>
          <w:sz w:val="21"/>
        </w:rPr>
        <w:t>C．冰盖边缘航空调查</w:t>
      </w:r>
      <w:r>
        <w:rPr>
          <w:sz w:val="21"/>
        </w:rPr>
        <w:tab/>
      </w:r>
      <w:r>
        <w:rPr>
          <w:sz w:val="21"/>
        </w:rPr>
        <w:t>D．海平面动态监测</w:t>
      </w:r>
    </w:p>
    <w:p w14:paraId="2308CA3E">
      <w:pPr>
        <w:shd w:val="clear" w:color="auto" w:fill="auto"/>
        <w:tabs>
          <w:tab w:val="left" w:pos="2078"/>
          <w:tab w:val="left" w:pos="4156"/>
          <w:tab w:val="left" w:pos="6234"/>
        </w:tabs>
        <w:spacing w:line="360" w:lineRule="auto"/>
        <w:ind w:left="300"/>
        <w:jc w:val="left"/>
        <w:textAlignment w:val="center"/>
        <w:rPr>
          <w:sz w:val="21"/>
        </w:rPr>
      </w:pPr>
    </w:p>
    <w:p w14:paraId="68D7FCC1">
      <w:pPr>
        <w:shd w:val="clear" w:color="auto" w:fill="auto"/>
        <w:spacing w:line="360" w:lineRule="auto"/>
        <w:ind w:firstLine="560"/>
        <w:jc w:val="left"/>
        <w:textAlignment w:val="center"/>
        <w:rPr>
          <w:sz w:val="21"/>
        </w:rPr>
      </w:pPr>
      <w:r>
        <w:rPr>
          <w:rFonts w:ascii="楷体" w:hAnsi="楷体" w:eastAsia="楷体" w:cs="楷体"/>
          <w:sz w:val="21"/>
        </w:rPr>
        <w:t>西班牙位于欧洲西南部，拥有众多阳光明媚的滨海旅游胜地。下图示意西班牙气候分布及某滨海旅游胜地的多年平均各月气温和降水量。据此完成下面小题。</w:t>
      </w:r>
    </w:p>
    <w:p w14:paraId="645B743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62275" cy="1571625"/>
            <wp:effectExtent l="0" t="0" r="9525" b="9525"/>
            <wp:docPr id="100009" name="图片 100009" descr="@@@0b08cb28-39d3-47fe-a1af-595f39749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0b08cb28-39d3-47fe-a1af-595f39749883"/>
                    <pic:cNvPicPr>
                      <a:picLocks noChangeAspect="1"/>
                    </pic:cNvPicPr>
                  </pic:nvPicPr>
                  <pic:blipFill>
                    <a:blip r:embed="rId12"/>
                    <a:stretch>
                      <a:fillRect/>
                    </a:stretch>
                  </pic:blipFill>
                  <pic:spPr>
                    <a:xfrm>
                      <a:off x="0" y="0"/>
                      <a:ext cx="2962275" cy="15716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638300" cy="1895475"/>
            <wp:effectExtent l="0" t="0" r="0" b="9525"/>
            <wp:docPr id="100011" name="图片 100011" descr="@@@29f90d4f-da69-45ce-91e8-71e6548ac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9f90d4f-da69-45ce-91e8-71e6548ac844"/>
                    <pic:cNvPicPr>
                      <a:picLocks noChangeAspect="1"/>
                    </pic:cNvPicPr>
                  </pic:nvPicPr>
                  <pic:blipFill>
                    <a:blip r:embed="rId13"/>
                    <a:stretch>
                      <a:fillRect/>
                    </a:stretch>
                  </pic:blipFill>
                  <pic:spPr>
                    <a:xfrm>
                      <a:off x="0" y="0"/>
                      <a:ext cx="1638300" cy="1895475"/>
                    </a:xfrm>
                    <a:prstGeom prst="rect">
                      <a:avLst/>
                    </a:prstGeom>
                  </pic:spPr>
                </pic:pic>
              </a:graphicData>
            </a:graphic>
          </wp:inline>
        </w:drawing>
      </w:r>
    </w:p>
    <w:p w14:paraId="08A0B38C">
      <w:pPr>
        <w:shd w:val="clear" w:color="auto" w:fill="auto"/>
        <w:spacing w:line="360" w:lineRule="auto"/>
        <w:jc w:val="left"/>
        <w:textAlignment w:val="center"/>
        <w:rPr>
          <w:sz w:val="21"/>
        </w:rPr>
      </w:pPr>
      <w:r>
        <w:rPr>
          <w:sz w:val="21"/>
        </w:rPr>
        <w:t>6．图中滨海旅游胜地主要分布在西班牙的（</w:t>
      </w:r>
      <w:r>
        <w:rPr>
          <w:rFonts w:ascii="Times New Roman" w:hAnsi="Times New Roman" w:eastAsia="Times New Roman" w:cs="Times New Roman"/>
          <w:kern w:val="0"/>
          <w:sz w:val="24"/>
          <w:szCs w:val="24"/>
        </w:rPr>
        <w:t>   </w:t>
      </w:r>
      <w:r>
        <w:rPr>
          <w:sz w:val="21"/>
        </w:rPr>
        <w:t>）</w:t>
      </w:r>
    </w:p>
    <w:p w14:paraId="2A844ED4">
      <w:pPr>
        <w:shd w:val="clear" w:color="auto" w:fill="auto"/>
        <w:tabs>
          <w:tab w:val="left" w:pos="2078"/>
          <w:tab w:val="left" w:pos="4156"/>
          <w:tab w:val="left" w:pos="6234"/>
        </w:tabs>
        <w:spacing w:line="360" w:lineRule="auto"/>
        <w:ind w:left="300"/>
        <w:jc w:val="left"/>
        <w:textAlignment w:val="center"/>
        <w:rPr>
          <w:sz w:val="21"/>
        </w:rPr>
      </w:pPr>
      <w:r>
        <w:rPr>
          <w:sz w:val="21"/>
        </w:rPr>
        <w:t>A．北部和西部</w:t>
      </w:r>
      <w:r>
        <w:rPr>
          <w:sz w:val="21"/>
        </w:rPr>
        <w:tab/>
      </w:r>
      <w:r>
        <w:rPr>
          <w:sz w:val="21"/>
        </w:rPr>
        <w:t>B．西部和南部</w:t>
      </w:r>
      <w:r>
        <w:rPr>
          <w:sz w:val="21"/>
        </w:rPr>
        <w:tab/>
      </w:r>
      <w:r>
        <w:rPr>
          <w:sz w:val="21"/>
        </w:rPr>
        <w:t>C．南部和东部</w:t>
      </w:r>
      <w:r>
        <w:rPr>
          <w:sz w:val="21"/>
        </w:rPr>
        <w:tab/>
      </w:r>
      <w:r>
        <w:rPr>
          <w:sz w:val="21"/>
        </w:rPr>
        <w:t>D．东部和北部</w:t>
      </w:r>
    </w:p>
    <w:p w14:paraId="3C197E2C">
      <w:pPr>
        <w:shd w:val="clear" w:color="auto" w:fill="auto"/>
        <w:spacing w:line="360" w:lineRule="auto"/>
        <w:jc w:val="left"/>
        <w:textAlignment w:val="center"/>
        <w:rPr>
          <w:sz w:val="21"/>
        </w:rPr>
      </w:pPr>
      <w:r>
        <w:rPr>
          <w:sz w:val="21"/>
        </w:rPr>
        <w:t>7．在滨海旅游胜地，可以感受到当地的气候（</w:t>
      </w:r>
      <w:r>
        <w:rPr>
          <w:rFonts w:ascii="Times New Roman" w:hAnsi="Times New Roman" w:eastAsia="Times New Roman" w:cs="Times New Roman"/>
          <w:kern w:val="0"/>
          <w:sz w:val="24"/>
          <w:szCs w:val="24"/>
        </w:rPr>
        <w:t>   </w:t>
      </w:r>
      <w:r>
        <w:rPr>
          <w:sz w:val="21"/>
        </w:rPr>
        <w:t>）。</w:t>
      </w:r>
    </w:p>
    <w:p w14:paraId="00EE235D">
      <w:pPr>
        <w:shd w:val="clear" w:color="auto" w:fill="auto"/>
        <w:tabs>
          <w:tab w:val="left" w:pos="4156"/>
        </w:tabs>
        <w:spacing w:line="360" w:lineRule="auto"/>
        <w:ind w:left="300"/>
        <w:jc w:val="left"/>
        <w:textAlignment w:val="center"/>
        <w:rPr>
          <w:sz w:val="21"/>
        </w:rPr>
      </w:pPr>
      <w:r>
        <w:rPr>
          <w:sz w:val="21"/>
        </w:rPr>
        <w:t>A．夏季炎热干燥，冬季温和湿润</w:t>
      </w:r>
      <w:r>
        <w:rPr>
          <w:sz w:val="21"/>
        </w:rPr>
        <w:tab/>
      </w:r>
      <w:r>
        <w:rPr>
          <w:sz w:val="21"/>
        </w:rPr>
        <w:t>B．全年温和湿润</w:t>
      </w:r>
    </w:p>
    <w:p w14:paraId="65ECB1A9">
      <w:pPr>
        <w:shd w:val="clear" w:color="auto" w:fill="auto"/>
        <w:tabs>
          <w:tab w:val="left" w:pos="4156"/>
        </w:tabs>
        <w:spacing w:line="360" w:lineRule="auto"/>
        <w:ind w:left="300"/>
        <w:jc w:val="left"/>
        <w:textAlignment w:val="center"/>
        <w:rPr>
          <w:sz w:val="21"/>
        </w:rPr>
      </w:pPr>
      <w:r>
        <w:rPr>
          <w:sz w:val="21"/>
        </w:rPr>
        <w:t>C．夏季高温多雨，冬季寒冷干燥</w:t>
      </w:r>
      <w:r>
        <w:rPr>
          <w:sz w:val="21"/>
        </w:rPr>
        <w:tab/>
      </w:r>
      <w:r>
        <w:rPr>
          <w:sz w:val="21"/>
        </w:rPr>
        <w:t>D．全年高温多雨</w:t>
      </w:r>
    </w:p>
    <w:p w14:paraId="18100449">
      <w:pPr>
        <w:shd w:val="clear" w:color="auto" w:fill="auto"/>
        <w:spacing w:line="360" w:lineRule="auto"/>
        <w:jc w:val="left"/>
        <w:textAlignment w:val="center"/>
        <w:rPr>
          <w:sz w:val="21"/>
        </w:rPr>
      </w:pPr>
      <w:r>
        <w:rPr>
          <w:sz w:val="21"/>
        </w:rPr>
        <w:t>8．依托气候优势，西班牙可开发利用（</w:t>
      </w:r>
      <w:r>
        <w:rPr>
          <w:rFonts w:ascii="Times New Roman" w:hAnsi="Times New Roman" w:eastAsia="Times New Roman" w:cs="Times New Roman"/>
          <w:kern w:val="0"/>
          <w:sz w:val="24"/>
          <w:szCs w:val="24"/>
        </w:rPr>
        <w:t>   </w:t>
      </w:r>
      <w:r>
        <w:rPr>
          <w:sz w:val="21"/>
        </w:rPr>
        <w:t>）</w:t>
      </w:r>
    </w:p>
    <w:p w14:paraId="02F0BA0B">
      <w:pPr>
        <w:shd w:val="clear" w:color="auto" w:fill="auto"/>
        <w:tabs>
          <w:tab w:val="left" w:pos="2078"/>
          <w:tab w:val="left" w:pos="4156"/>
          <w:tab w:val="left" w:pos="6234"/>
        </w:tabs>
        <w:spacing w:line="360" w:lineRule="auto"/>
        <w:ind w:left="300"/>
        <w:jc w:val="left"/>
        <w:textAlignment w:val="center"/>
        <w:rPr>
          <w:sz w:val="21"/>
        </w:rPr>
      </w:pPr>
      <w:r>
        <w:rPr>
          <w:sz w:val="21"/>
        </w:rPr>
        <w:t>A．太阳能</w:t>
      </w:r>
      <w:r>
        <w:rPr>
          <w:sz w:val="21"/>
        </w:rPr>
        <w:tab/>
      </w:r>
      <w:r>
        <w:rPr>
          <w:sz w:val="21"/>
        </w:rPr>
        <w:t>B．潮汐能</w:t>
      </w:r>
      <w:r>
        <w:rPr>
          <w:sz w:val="21"/>
        </w:rPr>
        <w:tab/>
      </w:r>
      <w:r>
        <w:rPr>
          <w:sz w:val="21"/>
        </w:rPr>
        <w:t>C．地热能</w:t>
      </w:r>
      <w:r>
        <w:rPr>
          <w:sz w:val="21"/>
        </w:rPr>
        <w:tab/>
      </w:r>
      <w:r>
        <w:rPr>
          <w:sz w:val="21"/>
        </w:rPr>
        <w:t>D．核能</w:t>
      </w:r>
    </w:p>
    <w:p w14:paraId="44C7835A">
      <w:pPr>
        <w:shd w:val="clear" w:color="auto" w:fill="auto"/>
        <w:tabs>
          <w:tab w:val="left" w:pos="2078"/>
          <w:tab w:val="left" w:pos="4156"/>
          <w:tab w:val="left" w:pos="6234"/>
        </w:tabs>
        <w:spacing w:line="360" w:lineRule="auto"/>
        <w:ind w:left="300"/>
        <w:jc w:val="left"/>
        <w:textAlignment w:val="center"/>
        <w:rPr>
          <w:sz w:val="21"/>
        </w:rPr>
      </w:pPr>
    </w:p>
    <w:p w14:paraId="53B29766">
      <w:pPr>
        <w:shd w:val="clear" w:color="auto" w:fill="auto"/>
        <w:spacing w:line="360" w:lineRule="auto"/>
        <w:ind w:firstLine="560"/>
        <w:jc w:val="left"/>
        <w:textAlignment w:val="center"/>
        <w:rPr>
          <w:sz w:val="21"/>
        </w:rPr>
      </w:pPr>
      <w:r>
        <w:rPr>
          <w:rFonts w:ascii="楷体" w:hAnsi="楷体" w:eastAsia="楷体" w:cs="楷体"/>
          <w:sz w:val="21"/>
        </w:rPr>
        <w:t>我国信息通信、人工智能、集成电路等数字产业发展迅速。2024年广东、江苏、北京等十个省级行政区数字产业收入规模占全国比重达81.5%，产业集聚态势明显。下图示意2024年我国数字产业收入规模前十的省级行政区。据此完成下面小题。</w:t>
      </w:r>
    </w:p>
    <w:p w14:paraId="0A6B3AD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14675" cy="2228850"/>
            <wp:effectExtent l="0" t="0" r="9525" b="0"/>
            <wp:docPr id="100013" name="图片 100013" descr="@@@0f2c6c71-b5df-413b-9a99-04f6f2d18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f2c6c71-b5df-413b-9a99-04f6f2d18bde"/>
                    <pic:cNvPicPr>
                      <a:picLocks noChangeAspect="1"/>
                    </pic:cNvPicPr>
                  </pic:nvPicPr>
                  <pic:blipFill>
                    <a:blip r:embed="rId14"/>
                    <a:stretch>
                      <a:fillRect/>
                    </a:stretch>
                  </pic:blipFill>
                  <pic:spPr>
                    <a:xfrm>
                      <a:off x="0" y="0"/>
                      <a:ext cx="3114675" cy="2228850"/>
                    </a:xfrm>
                    <a:prstGeom prst="rect">
                      <a:avLst/>
                    </a:prstGeom>
                  </pic:spPr>
                </pic:pic>
              </a:graphicData>
            </a:graphic>
          </wp:inline>
        </w:drawing>
      </w:r>
    </w:p>
    <w:p w14:paraId="55BBEE77">
      <w:pPr>
        <w:shd w:val="clear" w:color="auto" w:fill="auto"/>
        <w:spacing w:line="360" w:lineRule="auto"/>
        <w:jc w:val="left"/>
        <w:textAlignment w:val="center"/>
        <w:rPr>
          <w:sz w:val="21"/>
        </w:rPr>
      </w:pPr>
      <w:r>
        <w:rPr>
          <w:sz w:val="21"/>
        </w:rPr>
        <w:t>9．首都北京的数字产业发展水平位居前列，这表明北京是全国的（</w:t>
      </w:r>
      <w:r>
        <w:rPr>
          <w:rFonts w:ascii="Times New Roman" w:hAnsi="Times New Roman" w:eastAsia="Times New Roman" w:cs="Times New Roman"/>
          <w:kern w:val="0"/>
          <w:sz w:val="24"/>
          <w:szCs w:val="24"/>
        </w:rPr>
        <w:t>   </w:t>
      </w:r>
      <w:r>
        <w:rPr>
          <w:sz w:val="21"/>
        </w:rPr>
        <w:t>）</w:t>
      </w:r>
    </w:p>
    <w:p w14:paraId="576B69AB">
      <w:pPr>
        <w:shd w:val="clear" w:color="auto" w:fill="auto"/>
        <w:tabs>
          <w:tab w:val="left" w:pos="2078"/>
          <w:tab w:val="left" w:pos="4156"/>
          <w:tab w:val="left" w:pos="6234"/>
        </w:tabs>
        <w:spacing w:line="360" w:lineRule="auto"/>
        <w:ind w:left="300"/>
        <w:jc w:val="left"/>
        <w:textAlignment w:val="center"/>
        <w:rPr>
          <w:sz w:val="21"/>
        </w:rPr>
      </w:pPr>
      <w:r>
        <w:rPr>
          <w:sz w:val="21"/>
        </w:rPr>
        <w:t>A．政治中心</w:t>
      </w:r>
      <w:r>
        <w:rPr>
          <w:sz w:val="21"/>
        </w:rPr>
        <w:tab/>
      </w:r>
      <w:r>
        <w:rPr>
          <w:sz w:val="21"/>
        </w:rPr>
        <w:t>B．文化中心</w:t>
      </w:r>
      <w:r>
        <w:rPr>
          <w:sz w:val="21"/>
        </w:rPr>
        <w:tab/>
      </w:r>
      <w:r>
        <w:rPr>
          <w:sz w:val="21"/>
        </w:rPr>
        <w:t>C．国际交往中心</w:t>
      </w:r>
      <w:r>
        <w:rPr>
          <w:sz w:val="21"/>
        </w:rPr>
        <w:tab/>
      </w:r>
      <w:r>
        <w:rPr>
          <w:sz w:val="21"/>
        </w:rPr>
        <w:t>D．科技创新中心</w:t>
      </w:r>
    </w:p>
    <w:p w14:paraId="41202B39">
      <w:pPr>
        <w:shd w:val="clear" w:color="auto" w:fill="auto"/>
        <w:spacing w:line="360" w:lineRule="auto"/>
        <w:jc w:val="left"/>
        <w:textAlignment w:val="center"/>
        <w:rPr>
          <w:sz w:val="21"/>
        </w:rPr>
      </w:pPr>
      <w:r>
        <w:rPr>
          <w:sz w:val="21"/>
        </w:rPr>
        <w:t>10．我国数字产业收入规模前十的省级行政区主要集聚于（</w:t>
      </w:r>
      <w:r>
        <w:rPr>
          <w:rFonts w:ascii="Times New Roman" w:hAnsi="Times New Roman" w:eastAsia="Times New Roman" w:cs="Times New Roman"/>
          <w:kern w:val="0"/>
          <w:sz w:val="24"/>
          <w:szCs w:val="24"/>
        </w:rPr>
        <w:t>   </w:t>
      </w:r>
      <w:r>
        <w:rPr>
          <w:sz w:val="21"/>
        </w:rPr>
        <w:t>）</w:t>
      </w:r>
    </w:p>
    <w:p w14:paraId="684F8EB5">
      <w:pPr>
        <w:shd w:val="clear" w:color="auto" w:fill="auto"/>
        <w:tabs>
          <w:tab w:val="left" w:pos="2078"/>
          <w:tab w:val="left" w:pos="4156"/>
          <w:tab w:val="left" w:pos="6234"/>
        </w:tabs>
        <w:spacing w:line="360" w:lineRule="auto"/>
        <w:ind w:left="380"/>
        <w:jc w:val="left"/>
        <w:textAlignment w:val="center"/>
        <w:rPr>
          <w:sz w:val="21"/>
        </w:rPr>
      </w:pPr>
      <w:r>
        <w:rPr>
          <w:sz w:val="21"/>
        </w:rPr>
        <w:t>A．京津冀地区</w:t>
      </w:r>
      <w:r>
        <w:rPr>
          <w:sz w:val="21"/>
        </w:rPr>
        <w:tab/>
      </w:r>
      <w:r>
        <w:rPr>
          <w:sz w:val="21"/>
        </w:rPr>
        <w:t>B．粤港澳地区</w:t>
      </w:r>
      <w:r>
        <w:rPr>
          <w:sz w:val="21"/>
        </w:rPr>
        <w:tab/>
      </w:r>
      <w:r>
        <w:rPr>
          <w:sz w:val="21"/>
        </w:rPr>
        <w:t>C．西北内陆地区</w:t>
      </w:r>
      <w:r>
        <w:rPr>
          <w:sz w:val="21"/>
        </w:rPr>
        <w:tab/>
      </w:r>
      <w:r>
        <w:rPr>
          <w:sz w:val="21"/>
        </w:rPr>
        <w:t>D．沿海沿江地区</w:t>
      </w:r>
    </w:p>
    <w:p w14:paraId="3AF1D5EA">
      <w:pPr>
        <w:shd w:val="clear" w:color="auto" w:fill="auto"/>
        <w:spacing w:line="360" w:lineRule="auto"/>
        <w:jc w:val="left"/>
        <w:textAlignment w:val="center"/>
        <w:rPr>
          <w:sz w:val="21"/>
        </w:rPr>
      </w:pPr>
      <w:r>
        <w:rPr>
          <w:sz w:val="21"/>
        </w:rPr>
        <w:t>11．我国数字产业的飞速发展直接有利于（</w:t>
      </w:r>
      <w:r>
        <w:rPr>
          <w:rFonts w:ascii="Times New Roman" w:hAnsi="Times New Roman" w:eastAsia="Times New Roman" w:cs="Times New Roman"/>
          <w:kern w:val="0"/>
          <w:sz w:val="24"/>
          <w:szCs w:val="24"/>
        </w:rPr>
        <w:t>   </w:t>
      </w:r>
      <w:r>
        <w:rPr>
          <w:sz w:val="21"/>
        </w:rPr>
        <w:t>）</w:t>
      </w:r>
    </w:p>
    <w:p w14:paraId="706A0C30">
      <w:pPr>
        <w:shd w:val="clear" w:color="auto" w:fill="auto"/>
        <w:tabs>
          <w:tab w:val="left" w:pos="2078"/>
          <w:tab w:val="left" w:pos="4156"/>
          <w:tab w:val="left" w:pos="6234"/>
        </w:tabs>
        <w:spacing w:line="360" w:lineRule="auto"/>
        <w:ind w:left="380"/>
        <w:jc w:val="left"/>
        <w:textAlignment w:val="center"/>
        <w:rPr>
          <w:sz w:val="21"/>
        </w:rPr>
      </w:pPr>
      <w:r>
        <w:rPr>
          <w:sz w:val="21"/>
        </w:rPr>
        <w:t>A．优化能源结构</w:t>
      </w:r>
      <w:r>
        <w:rPr>
          <w:sz w:val="21"/>
        </w:rPr>
        <w:tab/>
      </w:r>
      <w:r>
        <w:rPr>
          <w:sz w:val="21"/>
        </w:rPr>
        <w:t>B．推动经济增长</w:t>
      </w:r>
      <w:r>
        <w:rPr>
          <w:sz w:val="21"/>
        </w:rPr>
        <w:tab/>
      </w:r>
      <w:r>
        <w:rPr>
          <w:sz w:val="21"/>
        </w:rPr>
        <w:t>C．缩小城乡差距</w:t>
      </w:r>
      <w:r>
        <w:rPr>
          <w:sz w:val="21"/>
        </w:rPr>
        <w:tab/>
      </w:r>
      <w:r>
        <w:rPr>
          <w:sz w:val="21"/>
        </w:rPr>
        <w:t>D．改善生态环境</w:t>
      </w:r>
    </w:p>
    <w:p w14:paraId="34AEFD3C">
      <w:pPr>
        <w:shd w:val="clear" w:color="auto" w:fill="auto"/>
        <w:tabs>
          <w:tab w:val="left" w:pos="2078"/>
          <w:tab w:val="left" w:pos="4156"/>
          <w:tab w:val="left" w:pos="6234"/>
        </w:tabs>
        <w:spacing w:line="360" w:lineRule="auto"/>
        <w:ind w:left="380"/>
        <w:jc w:val="left"/>
        <w:textAlignment w:val="center"/>
        <w:rPr>
          <w:sz w:val="21"/>
        </w:rPr>
      </w:pPr>
    </w:p>
    <w:p w14:paraId="5F55312B">
      <w:pPr>
        <w:shd w:val="clear" w:color="auto" w:fill="auto"/>
        <w:spacing w:line="360" w:lineRule="auto"/>
        <w:ind w:firstLine="560"/>
        <w:jc w:val="left"/>
        <w:textAlignment w:val="center"/>
        <w:rPr>
          <w:sz w:val="21"/>
        </w:rPr>
      </w:pPr>
      <w:r>
        <w:rPr>
          <w:rFonts w:ascii="楷体" w:hAnsi="楷体" w:eastAsia="楷体" w:cs="楷体"/>
          <w:sz w:val="21"/>
        </w:rPr>
        <w:t>我国是世界人口大国，人口分布不均衡。人口分布的疏密程度可以用人口密度来表示。下图示意2023年我国部分省级行政区的人口密度。据此完成下面小题。</w:t>
      </w:r>
    </w:p>
    <w:p w14:paraId="2877660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52800" cy="2038350"/>
            <wp:effectExtent l="0" t="0" r="0" b="0"/>
            <wp:docPr id="100015" name="图片 100015" descr="@@@3560d8a1-e86e-404b-922e-287734f489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3560d8a1-e86e-404b-922e-287734f489c7"/>
                    <pic:cNvPicPr>
                      <a:picLocks noChangeAspect="1"/>
                    </pic:cNvPicPr>
                  </pic:nvPicPr>
                  <pic:blipFill>
                    <a:blip r:embed="rId15"/>
                    <a:stretch>
                      <a:fillRect/>
                    </a:stretch>
                  </pic:blipFill>
                  <pic:spPr>
                    <a:xfrm>
                      <a:off x="0" y="0"/>
                      <a:ext cx="3352800" cy="2038350"/>
                    </a:xfrm>
                    <a:prstGeom prst="rect">
                      <a:avLst/>
                    </a:prstGeom>
                  </pic:spPr>
                </pic:pic>
              </a:graphicData>
            </a:graphic>
          </wp:inline>
        </w:drawing>
      </w:r>
    </w:p>
    <w:tbl>
      <w:tblPr>
        <w:tblStyle w:val="4"/>
        <w:tblW w:w="33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00"/>
      </w:tblGrid>
      <w:tr w14:paraId="7C043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240D84">
            <w:pPr>
              <w:shd w:val="clear" w:color="auto" w:fill="auto"/>
              <w:spacing w:line="360" w:lineRule="auto"/>
              <w:jc w:val="left"/>
              <w:textAlignment w:val="center"/>
              <w:rPr>
                <w:sz w:val="21"/>
              </w:rPr>
            </w:pPr>
            <w:r>
              <w:rPr>
                <w:rFonts w:ascii="楷体" w:hAnsi="楷体" w:eastAsia="楷体" w:cs="楷体"/>
                <w:sz w:val="21"/>
              </w:rPr>
              <w:t>提示：人口稠密区：人口密度&gt;100人/km</w:t>
            </w:r>
            <w:r>
              <w:rPr>
                <w:sz w:val="21"/>
                <w:vertAlign w:val="superscript"/>
              </w:rPr>
              <w:t>2</w:t>
            </w:r>
          </w:p>
          <w:p w14:paraId="4A84B402">
            <w:pPr>
              <w:shd w:val="clear" w:color="auto" w:fill="auto"/>
              <w:spacing w:line="360" w:lineRule="auto"/>
              <w:jc w:val="left"/>
              <w:textAlignment w:val="center"/>
              <w:rPr>
                <w:sz w:val="21"/>
              </w:rPr>
            </w:pPr>
            <w:r>
              <w:rPr>
                <w:rFonts w:ascii="楷体" w:hAnsi="楷体" w:eastAsia="楷体" w:cs="楷体"/>
                <w:sz w:val="21"/>
              </w:rPr>
              <w:t>人口稀疏区：人口密度&lt;10人/km</w:t>
            </w:r>
            <w:r>
              <w:rPr>
                <w:sz w:val="21"/>
                <w:vertAlign w:val="superscript"/>
              </w:rPr>
              <w:t>2</w:t>
            </w:r>
          </w:p>
        </w:tc>
      </w:tr>
    </w:tbl>
    <w:p w14:paraId="0A30AF39">
      <w:pPr>
        <w:shd w:val="clear" w:color="auto" w:fill="auto"/>
        <w:spacing w:line="360" w:lineRule="auto"/>
        <w:jc w:val="left"/>
        <w:textAlignment w:val="center"/>
        <w:rPr>
          <w:sz w:val="21"/>
        </w:rPr>
      </w:pPr>
      <w:r>
        <w:rPr>
          <w:sz w:val="21"/>
        </w:rPr>
        <w:t>12．图中人口密度差异最大的两个省级行政区是（</w:t>
      </w:r>
      <w:r>
        <w:rPr>
          <w:rFonts w:ascii="Times New Roman" w:hAnsi="Times New Roman" w:eastAsia="Times New Roman" w:cs="Times New Roman"/>
          <w:kern w:val="0"/>
          <w:sz w:val="24"/>
          <w:szCs w:val="24"/>
        </w:rPr>
        <w:t>   </w:t>
      </w:r>
      <w:r>
        <w:rPr>
          <w:sz w:val="21"/>
        </w:rPr>
        <w:t>）</w:t>
      </w:r>
    </w:p>
    <w:p w14:paraId="35219E20">
      <w:pPr>
        <w:shd w:val="clear" w:color="auto" w:fill="auto"/>
        <w:tabs>
          <w:tab w:val="left" w:pos="2078"/>
          <w:tab w:val="left" w:pos="4156"/>
          <w:tab w:val="left" w:pos="6234"/>
        </w:tabs>
        <w:spacing w:line="360" w:lineRule="auto"/>
        <w:ind w:left="380"/>
        <w:jc w:val="left"/>
        <w:textAlignment w:val="center"/>
        <w:rPr>
          <w:sz w:val="21"/>
        </w:rPr>
      </w:pPr>
      <w:r>
        <w:rPr>
          <w:sz w:val="21"/>
        </w:rPr>
        <w:t>A．河南、甘肃</w:t>
      </w:r>
      <w:r>
        <w:rPr>
          <w:sz w:val="21"/>
        </w:rPr>
        <w:tab/>
      </w:r>
      <w:r>
        <w:rPr>
          <w:sz w:val="21"/>
        </w:rPr>
        <w:t>B．山西、青海</w:t>
      </w:r>
      <w:r>
        <w:rPr>
          <w:sz w:val="21"/>
        </w:rPr>
        <w:tab/>
      </w:r>
      <w:r>
        <w:rPr>
          <w:sz w:val="21"/>
        </w:rPr>
        <w:t>C．河南、陕西</w:t>
      </w:r>
      <w:r>
        <w:rPr>
          <w:sz w:val="21"/>
        </w:rPr>
        <w:tab/>
      </w:r>
      <w:r>
        <w:rPr>
          <w:sz w:val="21"/>
        </w:rPr>
        <w:t>D．山东、西藏</w:t>
      </w:r>
    </w:p>
    <w:p w14:paraId="3F380EE7">
      <w:pPr>
        <w:shd w:val="clear" w:color="auto" w:fill="auto"/>
        <w:spacing w:line="360" w:lineRule="auto"/>
        <w:jc w:val="left"/>
        <w:textAlignment w:val="center"/>
        <w:rPr>
          <w:sz w:val="21"/>
        </w:rPr>
      </w:pPr>
      <w:r>
        <w:rPr>
          <w:sz w:val="21"/>
        </w:rPr>
        <w:t>13．图文资料可以反映出我国人口分布（</w:t>
      </w:r>
      <w:r>
        <w:rPr>
          <w:rFonts w:ascii="Times New Roman" w:hAnsi="Times New Roman" w:eastAsia="Times New Roman" w:cs="Times New Roman"/>
          <w:kern w:val="0"/>
          <w:sz w:val="24"/>
          <w:szCs w:val="24"/>
        </w:rPr>
        <w:t>   </w:t>
      </w:r>
      <w:r>
        <w:rPr>
          <w:sz w:val="21"/>
        </w:rPr>
        <w:t>）</w:t>
      </w:r>
    </w:p>
    <w:p w14:paraId="14243209">
      <w:pPr>
        <w:shd w:val="clear" w:color="auto" w:fill="auto"/>
        <w:tabs>
          <w:tab w:val="left" w:pos="2078"/>
          <w:tab w:val="left" w:pos="4156"/>
          <w:tab w:val="left" w:pos="6234"/>
        </w:tabs>
        <w:spacing w:line="360" w:lineRule="auto"/>
        <w:ind w:left="380"/>
        <w:jc w:val="left"/>
        <w:textAlignment w:val="center"/>
        <w:rPr>
          <w:sz w:val="21"/>
        </w:rPr>
      </w:pPr>
      <w:r>
        <w:rPr>
          <w:sz w:val="21"/>
        </w:rPr>
        <w:t>A．北密南疏</w:t>
      </w:r>
      <w:r>
        <w:rPr>
          <w:sz w:val="21"/>
        </w:rPr>
        <w:tab/>
      </w:r>
      <w:r>
        <w:rPr>
          <w:sz w:val="21"/>
        </w:rPr>
        <w:t>B．北疏南密</w:t>
      </w:r>
      <w:r>
        <w:rPr>
          <w:sz w:val="21"/>
        </w:rPr>
        <w:tab/>
      </w:r>
      <w:r>
        <w:rPr>
          <w:sz w:val="21"/>
        </w:rPr>
        <w:t>C．东密西疏</w:t>
      </w:r>
      <w:r>
        <w:rPr>
          <w:sz w:val="21"/>
        </w:rPr>
        <w:tab/>
      </w:r>
      <w:r>
        <w:rPr>
          <w:sz w:val="21"/>
        </w:rPr>
        <w:t>D．东疏西密</w:t>
      </w:r>
    </w:p>
    <w:p w14:paraId="3B67AFBF">
      <w:pPr>
        <w:shd w:val="clear" w:color="auto" w:fill="auto"/>
        <w:tabs>
          <w:tab w:val="left" w:pos="2078"/>
          <w:tab w:val="left" w:pos="4156"/>
          <w:tab w:val="left" w:pos="6234"/>
        </w:tabs>
        <w:spacing w:line="360" w:lineRule="auto"/>
        <w:ind w:left="380"/>
        <w:jc w:val="left"/>
        <w:textAlignment w:val="center"/>
        <w:rPr>
          <w:sz w:val="21"/>
        </w:rPr>
      </w:pPr>
    </w:p>
    <w:p w14:paraId="41510279">
      <w:pPr>
        <w:shd w:val="clear" w:color="auto" w:fill="auto"/>
        <w:spacing w:line="360" w:lineRule="auto"/>
        <w:ind w:firstLine="560"/>
        <w:jc w:val="left"/>
        <w:textAlignment w:val="center"/>
        <w:rPr>
          <w:sz w:val="21"/>
        </w:rPr>
      </w:pPr>
      <w:r>
        <w:rPr>
          <w:rFonts w:ascii="楷体" w:hAnsi="楷体" w:eastAsia="楷体" w:cs="楷体"/>
          <w:sz w:val="21"/>
        </w:rPr>
        <w:t>据统计，我国平均每年产生6亿至7亿部废旧手机，其回收利用潜力巨大，相关产业发展正在逐步规范。下图示意废旧手机的“回收路”。据此完成下面小题。</w:t>
      </w:r>
    </w:p>
    <w:p w14:paraId="1EC1244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76525" cy="1571625"/>
            <wp:effectExtent l="0" t="0" r="9525" b="9525"/>
            <wp:docPr id="100017" name="图片 100017" descr="@@@651ef036-a8fe-43cd-bb64-b6c86bb47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651ef036-a8fe-43cd-bb64-b6c86bb47c46"/>
                    <pic:cNvPicPr>
                      <a:picLocks noChangeAspect="1"/>
                    </pic:cNvPicPr>
                  </pic:nvPicPr>
                  <pic:blipFill>
                    <a:blip r:embed="rId16"/>
                    <a:stretch>
                      <a:fillRect/>
                    </a:stretch>
                  </pic:blipFill>
                  <pic:spPr>
                    <a:xfrm>
                      <a:off x="0" y="0"/>
                      <a:ext cx="2676525" cy="1571625"/>
                    </a:xfrm>
                    <a:prstGeom prst="rect">
                      <a:avLst/>
                    </a:prstGeom>
                  </pic:spPr>
                </pic:pic>
              </a:graphicData>
            </a:graphic>
          </wp:inline>
        </w:drawing>
      </w:r>
    </w:p>
    <w:p w14:paraId="54E12B5C">
      <w:pPr>
        <w:shd w:val="clear" w:color="auto" w:fill="auto"/>
        <w:spacing w:line="360" w:lineRule="auto"/>
        <w:jc w:val="left"/>
        <w:textAlignment w:val="center"/>
        <w:rPr>
          <w:sz w:val="21"/>
        </w:rPr>
      </w:pPr>
      <w:r>
        <w:rPr>
          <w:sz w:val="21"/>
        </w:rPr>
        <w:t>14．生产手机所需的原材料大多来自（</w:t>
      </w:r>
      <w:r>
        <w:rPr>
          <w:rFonts w:ascii="Times New Roman" w:hAnsi="Times New Roman" w:eastAsia="Times New Roman" w:cs="Times New Roman"/>
          <w:kern w:val="0"/>
          <w:sz w:val="24"/>
          <w:szCs w:val="24"/>
        </w:rPr>
        <w:t>   </w:t>
      </w:r>
      <w:r>
        <w:rPr>
          <w:sz w:val="21"/>
        </w:rPr>
        <w:t>）</w:t>
      </w:r>
    </w:p>
    <w:p w14:paraId="6CD9BF15">
      <w:pPr>
        <w:shd w:val="clear" w:color="auto" w:fill="auto"/>
        <w:tabs>
          <w:tab w:val="left" w:pos="2078"/>
          <w:tab w:val="left" w:pos="4156"/>
          <w:tab w:val="left" w:pos="6234"/>
        </w:tabs>
        <w:spacing w:line="360" w:lineRule="auto"/>
        <w:ind w:left="380"/>
        <w:jc w:val="left"/>
        <w:textAlignment w:val="center"/>
        <w:rPr>
          <w:sz w:val="21"/>
        </w:rPr>
      </w:pPr>
      <w:r>
        <w:rPr>
          <w:sz w:val="21"/>
        </w:rPr>
        <w:t>A．土地资源</w:t>
      </w:r>
      <w:r>
        <w:rPr>
          <w:sz w:val="21"/>
        </w:rPr>
        <w:tab/>
      </w:r>
      <w:r>
        <w:rPr>
          <w:sz w:val="21"/>
        </w:rPr>
        <w:t>B．矿产资源</w:t>
      </w:r>
      <w:r>
        <w:rPr>
          <w:sz w:val="21"/>
        </w:rPr>
        <w:tab/>
      </w:r>
      <w:r>
        <w:rPr>
          <w:sz w:val="21"/>
        </w:rPr>
        <w:t>C．生物资源</w:t>
      </w:r>
      <w:r>
        <w:rPr>
          <w:sz w:val="21"/>
        </w:rPr>
        <w:tab/>
      </w:r>
      <w:r>
        <w:rPr>
          <w:sz w:val="21"/>
        </w:rPr>
        <w:t>D．气候资源</w:t>
      </w:r>
    </w:p>
    <w:p w14:paraId="31E12C05">
      <w:pPr>
        <w:shd w:val="clear" w:color="auto" w:fill="auto"/>
        <w:spacing w:line="360" w:lineRule="auto"/>
        <w:jc w:val="left"/>
        <w:textAlignment w:val="center"/>
        <w:rPr>
          <w:sz w:val="21"/>
        </w:rPr>
      </w:pPr>
      <w:r>
        <w:rPr>
          <w:sz w:val="21"/>
        </w:rPr>
        <w:t>15．废旧手机回收利用产业主要体现的理念是（</w:t>
      </w:r>
      <w:r>
        <w:rPr>
          <w:rFonts w:ascii="Times New Roman" w:hAnsi="Times New Roman" w:eastAsia="Times New Roman" w:cs="Times New Roman"/>
          <w:kern w:val="0"/>
          <w:sz w:val="24"/>
          <w:szCs w:val="24"/>
        </w:rPr>
        <w:t>   </w:t>
      </w:r>
      <w:r>
        <w:rPr>
          <w:sz w:val="21"/>
        </w:rPr>
        <w:t>）</w:t>
      </w:r>
    </w:p>
    <w:p w14:paraId="4ED8E534">
      <w:pPr>
        <w:shd w:val="clear" w:color="auto" w:fill="auto"/>
        <w:tabs>
          <w:tab w:val="left" w:pos="2078"/>
          <w:tab w:val="left" w:pos="4156"/>
          <w:tab w:val="left" w:pos="6234"/>
        </w:tabs>
        <w:spacing w:line="360" w:lineRule="auto"/>
        <w:ind w:left="380"/>
        <w:jc w:val="left"/>
        <w:textAlignment w:val="center"/>
        <w:rPr>
          <w:sz w:val="21"/>
        </w:rPr>
      </w:pPr>
      <w:r>
        <w:rPr>
          <w:sz w:val="21"/>
        </w:rPr>
        <w:t>A．低碳环保</w:t>
      </w:r>
      <w:r>
        <w:rPr>
          <w:sz w:val="21"/>
        </w:rPr>
        <w:tab/>
      </w:r>
      <w:r>
        <w:rPr>
          <w:sz w:val="21"/>
        </w:rPr>
        <w:t>B．因地制宜</w:t>
      </w:r>
      <w:r>
        <w:rPr>
          <w:sz w:val="21"/>
        </w:rPr>
        <w:tab/>
      </w:r>
      <w:r>
        <w:rPr>
          <w:sz w:val="21"/>
        </w:rPr>
        <w:t>C．开放包容</w:t>
      </w:r>
      <w:r>
        <w:rPr>
          <w:sz w:val="21"/>
        </w:rPr>
        <w:tab/>
      </w:r>
      <w:r>
        <w:rPr>
          <w:sz w:val="21"/>
        </w:rPr>
        <w:t>D．合作共享</w:t>
      </w:r>
    </w:p>
    <w:p w14:paraId="3C2A4A33">
      <w:pPr>
        <w:shd w:val="clear" w:color="auto" w:fill="auto"/>
        <w:tabs>
          <w:tab w:val="left" w:pos="2078"/>
          <w:tab w:val="left" w:pos="4156"/>
          <w:tab w:val="left" w:pos="6234"/>
        </w:tabs>
        <w:spacing w:line="360" w:lineRule="auto"/>
        <w:ind w:left="380"/>
        <w:jc w:val="left"/>
        <w:textAlignment w:val="center"/>
        <w:rPr>
          <w:sz w:val="21"/>
        </w:rPr>
      </w:pPr>
    </w:p>
    <w:p w14:paraId="768CFDFD">
      <w:pPr>
        <w:jc w:val="center"/>
        <w:textAlignment w:val="center"/>
        <w:rPr>
          <w:rFonts w:ascii="黑体" w:hAnsi="黑体" w:eastAsia="黑体" w:cs="黑体"/>
          <w:b/>
          <w:i w:val="0"/>
          <w:color w:val="000000"/>
          <w:sz w:val="30"/>
        </w:rPr>
      </w:pPr>
    </w:p>
    <w:p w14:paraId="0F51527C">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67DCB460">
      <w:pPr>
        <w:shd w:val="clear" w:color="auto" w:fill="auto"/>
        <w:spacing w:line="360" w:lineRule="auto"/>
        <w:jc w:val="left"/>
        <w:textAlignment w:val="center"/>
        <w:rPr>
          <w:sz w:val="21"/>
        </w:rPr>
      </w:pPr>
      <w:r>
        <w:rPr>
          <w:sz w:val="21"/>
        </w:rPr>
        <w:t>16．【案例分析】阅读材料，回答下面问题</w:t>
      </w:r>
    </w:p>
    <w:p w14:paraId="32F08ECF">
      <w:pPr>
        <w:shd w:val="clear" w:color="auto" w:fill="auto"/>
        <w:spacing w:line="360" w:lineRule="auto"/>
        <w:ind w:firstLine="560"/>
        <w:jc w:val="left"/>
        <w:textAlignment w:val="center"/>
        <w:rPr>
          <w:sz w:val="21"/>
        </w:rPr>
      </w:pPr>
      <w:r>
        <w:rPr>
          <w:rFonts w:ascii="楷体" w:hAnsi="楷体" w:eastAsia="楷体" w:cs="楷体"/>
          <w:sz w:val="21"/>
        </w:rPr>
        <w:t>案例名称：放眼世界——中拉合作奏响共同发展新乐章</w:t>
      </w:r>
    </w:p>
    <w:p w14:paraId="039FE857">
      <w:pPr>
        <w:shd w:val="clear" w:color="auto" w:fill="auto"/>
        <w:spacing w:line="360" w:lineRule="auto"/>
        <w:ind w:firstLine="560"/>
        <w:jc w:val="left"/>
        <w:textAlignment w:val="center"/>
        <w:rPr>
          <w:sz w:val="21"/>
        </w:rPr>
      </w:pPr>
      <w:r>
        <w:rPr>
          <w:rFonts w:ascii="楷体" w:hAnsi="楷体" w:eastAsia="楷体" w:cs="楷体"/>
          <w:sz w:val="21"/>
        </w:rPr>
        <w:t>案例资料：</w:t>
      </w:r>
    </w:p>
    <w:p w14:paraId="0AE0D8CD">
      <w:pPr>
        <w:shd w:val="clear" w:color="auto" w:fill="auto"/>
        <w:spacing w:line="360" w:lineRule="auto"/>
        <w:ind w:firstLine="560"/>
        <w:jc w:val="left"/>
        <w:textAlignment w:val="center"/>
        <w:rPr>
          <w:sz w:val="21"/>
        </w:rPr>
      </w:pPr>
      <w:r>
        <w:rPr>
          <w:rFonts w:ascii="楷体" w:hAnsi="楷体" w:eastAsia="楷体" w:cs="楷体"/>
          <w:sz w:val="21"/>
        </w:rPr>
        <w:t>资料一拉丁美洲指美国以南的美洲地区，这些地区居民的语言属于拉丁语系，因此被称为拉丁美洲。</w:t>
      </w:r>
    </w:p>
    <w:p w14:paraId="3ABCF3BB">
      <w:pPr>
        <w:shd w:val="clear" w:color="auto" w:fill="auto"/>
        <w:spacing w:line="360" w:lineRule="auto"/>
        <w:ind w:firstLine="560"/>
        <w:jc w:val="left"/>
        <w:textAlignment w:val="center"/>
        <w:rPr>
          <w:sz w:val="21"/>
        </w:rPr>
      </w:pPr>
      <w:r>
        <w:rPr>
          <w:rFonts w:ascii="楷体" w:hAnsi="楷体" w:eastAsia="楷体" w:cs="楷体"/>
          <w:sz w:val="21"/>
        </w:rPr>
        <w:t>资料二中国和拉丁美洲经济互补性强，双方在多领域的合作取得显著成效。中国参与建设的一系列合作项目稳步落地，如阿根廷贝尔格拉诺货运铁路重建项目、牙买加南北高速公路、圭亚那新德梅拉拉河大桥、墨西哥佩尼亚斯科港光伏项目等。此外，中巴联合研制的地球资源卫星正俯瞰地球，其免费开放的数据已惠及多个国家。中拉合作提质升级、创新发展的步伐不断加快。</w:t>
      </w:r>
    </w:p>
    <w:p w14:paraId="0EDB8560">
      <w:pPr>
        <w:shd w:val="clear" w:color="auto" w:fill="auto"/>
        <w:spacing w:line="360" w:lineRule="auto"/>
        <w:ind w:firstLine="560"/>
        <w:jc w:val="left"/>
        <w:textAlignment w:val="center"/>
        <w:rPr>
          <w:sz w:val="21"/>
        </w:rPr>
      </w:pPr>
      <w:r>
        <w:rPr>
          <w:rFonts w:ascii="楷体" w:hAnsi="楷体" w:eastAsia="楷体" w:cs="楷体"/>
          <w:sz w:val="21"/>
        </w:rPr>
        <w:t>资料三拉丁美洲在世界的位置及部分物产分布示意图。</w:t>
      </w:r>
    </w:p>
    <w:p w14:paraId="631F332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19600" cy="2676525"/>
            <wp:effectExtent l="0" t="0" r="0" b="9525"/>
            <wp:docPr id="100019" name="图片 100019" descr="@@@1c45c0fef1fb450286ecb63bf2b6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1c45c0fef1fb450286ecb63bf2b63802"/>
                    <pic:cNvPicPr>
                      <a:picLocks noChangeAspect="1"/>
                    </pic:cNvPicPr>
                  </pic:nvPicPr>
                  <pic:blipFill>
                    <a:blip r:embed="rId17"/>
                    <a:stretch>
                      <a:fillRect/>
                    </a:stretch>
                  </pic:blipFill>
                  <pic:spPr>
                    <a:xfrm>
                      <a:off x="0" y="0"/>
                      <a:ext cx="4419600" cy="2676525"/>
                    </a:xfrm>
                    <a:prstGeom prst="rect">
                      <a:avLst/>
                    </a:prstGeom>
                  </pic:spPr>
                </pic:pic>
              </a:graphicData>
            </a:graphic>
          </wp:inline>
        </w:drawing>
      </w:r>
    </w:p>
    <w:p w14:paraId="6AB5B4EA">
      <w:pPr>
        <w:shd w:val="clear" w:color="auto" w:fill="auto"/>
        <w:spacing w:line="360" w:lineRule="auto"/>
        <w:jc w:val="left"/>
        <w:textAlignment w:val="center"/>
        <w:rPr>
          <w:sz w:val="21"/>
        </w:rPr>
      </w:pPr>
      <w:r>
        <w:rPr>
          <w:sz w:val="21"/>
        </w:rPr>
        <w:t>案例思考：</w:t>
      </w:r>
    </w:p>
    <w:p w14:paraId="17AC7F70">
      <w:pPr>
        <w:shd w:val="clear" w:color="auto" w:fill="auto"/>
        <w:spacing w:line="360" w:lineRule="auto"/>
        <w:jc w:val="left"/>
        <w:textAlignment w:val="center"/>
        <w:rPr>
          <w:sz w:val="21"/>
        </w:rPr>
      </w:pPr>
      <w:r>
        <w:rPr>
          <w:sz w:val="21"/>
        </w:rPr>
        <w:t>(1)描述拉丁美洲的纬度位置。</w:t>
      </w:r>
    </w:p>
    <w:p w14:paraId="74C1A6CB">
      <w:pPr>
        <w:shd w:val="clear" w:color="auto" w:fill="auto"/>
        <w:spacing w:line="360" w:lineRule="auto"/>
        <w:jc w:val="left"/>
        <w:textAlignment w:val="center"/>
        <w:rPr>
          <w:sz w:val="21"/>
        </w:rPr>
      </w:pPr>
      <w:r>
        <w:rPr>
          <w:sz w:val="21"/>
        </w:rPr>
        <w:t>(2)列举拉丁美洲可能出口到中国的矿产品和农产品各两例。</w:t>
      </w:r>
    </w:p>
    <w:p w14:paraId="449E252E">
      <w:pPr>
        <w:shd w:val="clear" w:color="auto" w:fill="auto"/>
        <w:spacing w:line="360" w:lineRule="auto"/>
        <w:jc w:val="left"/>
        <w:textAlignment w:val="center"/>
        <w:rPr>
          <w:sz w:val="21"/>
        </w:rPr>
      </w:pPr>
      <w:r>
        <w:rPr>
          <w:sz w:val="21"/>
        </w:rPr>
        <w:t>(3)设计一条从拉丁美洲东海岸到中国的海运路线，要求写出经过的大洋、运河或海峡。</w:t>
      </w:r>
    </w:p>
    <w:p w14:paraId="5A026E63">
      <w:pPr>
        <w:shd w:val="clear" w:color="auto" w:fill="auto"/>
        <w:spacing w:line="360" w:lineRule="auto"/>
        <w:jc w:val="left"/>
        <w:textAlignment w:val="center"/>
        <w:rPr>
          <w:sz w:val="21"/>
        </w:rPr>
      </w:pPr>
      <w:r>
        <w:rPr>
          <w:sz w:val="21"/>
        </w:rPr>
        <w:t>(4)结合材料，归纳中拉合作的主要领域。</w:t>
      </w:r>
    </w:p>
    <w:p w14:paraId="56F65ED9">
      <w:pPr>
        <w:shd w:val="clear" w:color="auto" w:fill="auto"/>
        <w:spacing w:line="360" w:lineRule="auto"/>
        <w:jc w:val="left"/>
        <w:textAlignment w:val="center"/>
        <w:rPr>
          <w:sz w:val="21"/>
        </w:rPr>
      </w:pPr>
      <w:r>
        <w:rPr>
          <w:sz w:val="21"/>
        </w:rPr>
        <w:t>(5)中拉合作是全球合作典范，谈谈其对当今世界各国加强合作的启示。</w:t>
      </w:r>
    </w:p>
    <w:p w14:paraId="5C0AE4A5">
      <w:pPr>
        <w:shd w:val="clear" w:color="auto" w:fill="auto"/>
        <w:spacing w:line="360" w:lineRule="auto"/>
        <w:jc w:val="left"/>
        <w:textAlignment w:val="center"/>
        <w:rPr>
          <w:sz w:val="21"/>
        </w:rPr>
      </w:pPr>
      <w:r>
        <w:rPr>
          <w:sz w:val="21"/>
        </w:rPr>
        <w:t>17．【研究性学习】阅读材料，回答下面问题</w:t>
      </w:r>
    </w:p>
    <w:p w14:paraId="19D3BE27">
      <w:pPr>
        <w:shd w:val="clear" w:color="auto" w:fill="auto"/>
        <w:spacing w:line="360" w:lineRule="auto"/>
        <w:ind w:firstLine="560"/>
        <w:jc w:val="left"/>
        <w:textAlignment w:val="center"/>
        <w:rPr>
          <w:sz w:val="21"/>
        </w:rPr>
      </w:pPr>
      <w:r>
        <w:rPr>
          <w:rFonts w:ascii="楷体" w:hAnsi="楷体" w:eastAsia="楷体" w:cs="楷体"/>
          <w:sz w:val="21"/>
        </w:rPr>
        <w:t>课题名称：读懂中国——继往开来肩负粮食安全新担当</w:t>
      </w:r>
    </w:p>
    <w:p w14:paraId="01F87E4D">
      <w:pPr>
        <w:shd w:val="clear" w:color="auto" w:fill="auto"/>
        <w:spacing w:line="360" w:lineRule="auto"/>
        <w:ind w:firstLine="560"/>
        <w:jc w:val="left"/>
        <w:textAlignment w:val="center"/>
        <w:rPr>
          <w:sz w:val="21"/>
        </w:rPr>
      </w:pPr>
      <w:r>
        <w:rPr>
          <w:rFonts w:ascii="楷体" w:hAnsi="楷体" w:eastAsia="楷体" w:cs="楷体"/>
          <w:sz w:val="21"/>
        </w:rPr>
        <w:t>课题资料：</w:t>
      </w:r>
    </w:p>
    <w:p w14:paraId="5112D242">
      <w:pPr>
        <w:shd w:val="clear" w:color="auto" w:fill="auto"/>
        <w:spacing w:line="360" w:lineRule="auto"/>
        <w:ind w:firstLine="560"/>
        <w:jc w:val="left"/>
        <w:textAlignment w:val="center"/>
        <w:rPr>
          <w:sz w:val="21"/>
        </w:rPr>
      </w:pPr>
      <w:r>
        <w:rPr>
          <w:rFonts w:ascii="楷体" w:hAnsi="楷体" w:eastAsia="楷体" w:cs="楷体"/>
          <w:sz w:val="21"/>
        </w:rPr>
        <w:t>资料一粟（现称谷子，脱壳后即小米）和水稻是由中华先民分别从野生狗尾草和野草“鬼禾”驯化而来的。粟耐旱耐贫瘠、生长期短，易于种植；水稻喜温喜湿，在生长过程中需要充足的光照、热量和水分。农作物的驯化史，体现了中华先民适应环境、改造自然的智慧，奠定了中国农耕文明的基石。</w:t>
      </w:r>
    </w:p>
    <w:p w14:paraId="69F8A30F">
      <w:pPr>
        <w:shd w:val="clear" w:color="auto" w:fill="auto"/>
        <w:spacing w:line="360" w:lineRule="auto"/>
        <w:ind w:firstLine="560"/>
        <w:jc w:val="left"/>
        <w:textAlignment w:val="center"/>
        <w:rPr>
          <w:sz w:val="21"/>
        </w:rPr>
      </w:pPr>
      <w:r>
        <w:rPr>
          <w:rFonts w:ascii="楷体" w:hAnsi="楷体" w:eastAsia="楷体" w:cs="楷体"/>
          <w:sz w:val="21"/>
        </w:rPr>
        <w:t>资料二我国人口众多，粮食需求量大，确保粮食安全是头等大事。新中国成立后，尤其是改革开放以来，我国采取了一系列有效措施，如推广节水种植技术、研发智能农机装备、培育优质高产品种等，农作物种植范围不断扩大，粮食产量稳步提升，确保了谷子中国人的饭碗牢牢端在自己手中。</w:t>
      </w:r>
    </w:p>
    <w:p w14:paraId="5C8CFDDD">
      <w:pPr>
        <w:shd w:val="clear" w:color="auto" w:fill="auto"/>
        <w:spacing w:line="360" w:lineRule="auto"/>
        <w:ind w:firstLine="560"/>
        <w:jc w:val="left"/>
        <w:textAlignment w:val="center"/>
        <w:rPr>
          <w:sz w:val="21"/>
        </w:rPr>
      </w:pPr>
      <w:r>
        <w:rPr>
          <w:rFonts w:ascii="楷体" w:hAnsi="楷体" w:eastAsia="楷体" w:cs="楷体"/>
          <w:sz w:val="21"/>
        </w:rPr>
        <w:t>资料三我国农耕考古遗址分布示意图和谷子、水稻实物图。</w:t>
      </w:r>
    </w:p>
    <w:p w14:paraId="1E1C1BB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33850" cy="2381250"/>
            <wp:effectExtent l="0" t="0" r="0" b="0"/>
            <wp:docPr id="100021" name="图片 100021" descr="@@@44b5bfe6-cd82-44ca-a52b-e7aa6bec8d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4b5bfe6-cd82-44ca-a52b-e7aa6bec8da8"/>
                    <pic:cNvPicPr>
                      <a:picLocks noChangeAspect="1"/>
                    </pic:cNvPicPr>
                  </pic:nvPicPr>
                  <pic:blipFill>
                    <a:blip r:embed="rId18"/>
                    <a:stretch>
                      <a:fillRect/>
                    </a:stretch>
                  </pic:blipFill>
                  <pic:spPr>
                    <a:xfrm>
                      <a:off x="0" y="0"/>
                      <a:ext cx="4133850" cy="2381250"/>
                    </a:xfrm>
                    <a:prstGeom prst="rect">
                      <a:avLst/>
                    </a:prstGeom>
                  </pic:spPr>
                </pic:pic>
              </a:graphicData>
            </a:graphic>
          </wp:inline>
        </w:drawing>
      </w:r>
    </w:p>
    <w:p w14:paraId="401B76C0">
      <w:pPr>
        <w:shd w:val="clear" w:color="auto" w:fill="auto"/>
        <w:spacing w:line="360" w:lineRule="auto"/>
        <w:jc w:val="left"/>
        <w:textAlignment w:val="center"/>
        <w:rPr>
          <w:sz w:val="21"/>
        </w:rPr>
      </w:pPr>
      <w:r>
        <w:rPr>
          <w:sz w:val="21"/>
        </w:rPr>
        <w:t>课题思考：</w:t>
      </w:r>
    </w:p>
    <w:p w14:paraId="23F3E6F5">
      <w:pPr>
        <w:shd w:val="clear" w:color="auto" w:fill="auto"/>
        <w:spacing w:line="360" w:lineRule="auto"/>
        <w:jc w:val="left"/>
        <w:textAlignment w:val="center"/>
        <w:rPr>
          <w:sz w:val="21"/>
        </w:rPr>
      </w:pPr>
      <w:r>
        <w:rPr>
          <w:sz w:val="21"/>
        </w:rPr>
        <w:t>(1)从河流角度，分别描述原始农耕时代粟作和稻作农业区的空间分布。</w:t>
      </w:r>
    </w:p>
    <w:p w14:paraId="1769C3EA">
      <w:pPr>
        <w:shd w:val="clear" w:color="auto" w:fill="auto"/>
        <w:spacing w:line="360" w:lineRule="auto"/>
        <w:jc w:val="left"/>
        <w:textAlignment w:val="center"/>
        <w:rPr>
          <w:sz w:val="21"/>
        </w:rPr>
      </w:pPr>
      <w:r>
        <w:rPr>
          <w:sz w:val="21"/>
        </w:rPr>
        <w:t>(2)说出原始农耕时代粟作和稻作农业区的大致分界线名称，以及该分界线的两点地理意义。</w:t>
      </w:r>
    </w:p>
    <w:p w14:paraId="3A8027B9">
      <w:pPr>
        <w:shd w:val="clear" w:color="auto" w:fill="auto"/>
        <w:spacing w:line="360" w:lineRule="auto"/>
        <w:jc w:val="left"/>
        <w:textAlignment w:val="center"/>
        <w:rPr>
          <w:sz w:val="21"/>
        </w:rPr>
      </w:pPr>
      <w:r>
        <w:rPr>
          <w:sz w:val="21"/>
        </w:rPr>
        <w:t>(3)根据粟和水稻的生长习性，比较原始农耕时代粟作和稻作农业区的气温、降水差异。</w:t>
      </w:r>
    </w:p>
    <w:p w14:paraId="44041D55">
      <w:pPr>
        <w:shd w:val="clear" w:color="auto" w:fill="auto"/>
        <w:spacing w:line="360" w:lineRule="auto"/>
        <w:jc w:val="left"/>
        <w:textAlignment w:val="center"/>
        <w:rPr>
          <w:sz w:val="21"/>
        </w:rPr>
      </w:pPr>
      <w:r>
        <w:rPr>
          <w:sz w:val="21"/>
        </w:rPr>
        <w:t>(4)从社会经济角度，简析改革开放以来我国农作物种植范围扩大的原因。</w:t>
      </w:r>
    </w:p>
    <w:p w14:paraId="233CC330">
      <w:pPr>
        <w:shd w:val="clear" w:color="auto" w:fill="auto"/>
        <w:spacing w:line="360" w:lineRule="auto"/>
        <w:jc w:val="left"/>
        <w:textAlignment w:val="center"/>
        <w:rPr>
          <w:sz w:val="21"/>
        </w:rPr>
      </w:pPr>
      <w:r>
        <w:rPr>
          <w:sz w:val="21"/>
        </w:rPr>
        <w:t>(5)守护中国粮，青春有担当。谈谈你在日常生活中节约粮食的具体做法。</w:t>
      </w:r>
    </w:p>
    <w:p w14:paraId="10E8E201">
      <w:pPr>
        <w:shd w:val="clear" w:color="auto" w:fill="auto"/>
        <w:spacing w:line="360" w:lineRule="auto"/>
        <w:jc w:val="left"/>
        <w:textAlignment w:val="center"/>
        <w:rPr>
          <w:sz w:val="21"/>
        </w:rPr>
      </w:pPr>
      <w:r>
        <w:rPr>
          <w:sz w:val="21"/>
        </w:rPr>
        <w:t>18．【探究发现】阅读材料，回答下面问题。</w:t>
      </w:r>
    </w:p>
    <w:p w14:paraId="2A98C71E">
      <w:pPr>
        <w:shd w:val="clear" w:color="auto" w:fill="auto"/>
        <w:spacing w:line="360" w:lineRule="auto"/>
        <w:ind w:firstLine="560"/>
        <w:jc w:val="left"/>
        <w:textAlignment w:val="center"/>
        <w:rPr>
          <w:sz w:val="21"/>
        </w:rPr>
      </w:pPr>
      <w:r>
        <w:rPr>
          <w:rFonts w:ascii="楷体" w:hAnsi="楷体" w:eastAsia="楷体" w:cs="楷体"/>
          <w:sz w:val="21"/>
        </w:rPr>
        <w:t>探究名称：聚焦山西——特色产业绽放高质量发展新华彩</w:t>
      </w:r>
    </w:p>
    <w:p w14:paraId="57F30A6F">
      <w:pPr>
        <w:shd w:val="clear" w:color="auto" w:fill="auto"/>
        <w:spacing w:line="360" w:lineRule="auto"/>
        <w:ind w:firstLine="560"/>
        <w:jc w:val="left"/>
        <w:textAlignment w:val="center"/>
        <w:rPr>
          <w:sz w:val="21"/>
        </w:rPr>
      </w:pPr>
      <w:r>
        <w:rPr>
          <w:rFonts w:ascii="楷体" w:hAnsi="楷体" w:eastAsia="楷体" w:cs="楷体"/>
          <w:sz w:val="21"/>
        </w:rPr>
        <w:t>探究资料：</w:t>
      </w:r>
    </w:p>
    <w:p w14:paraId="282C39E3">
      <w:pPr>
        <w:shd w:val="clear" w:color="auto" w:fill="auto"/>
        <w:spacing w:line="360" w:lineRule="auto"/>
        <w:ind w:firstLine="560"/>
        <w:jc w:val="left"/>
        <w:textAlignment w:val="center"/>
        <w:rPr>
          <w:sz w:val="21"/>
        </w:rPr>
      </w:pPr>
      <w:r>
        <w:rPr>
          <w:rFonts w:ascii="楷体" w:hAnsi="楷体" w:eastAsia="楷体" w:cs="楷体"/>
          <w:sz w:val="21"/>
        </w:rPr>
        <w:t>资料一享誉北方的怀仁陶瓷，名扬天下的平遥牛肉，畅销海内外的定襄法兰……山西自然条件复杂多样，传统工艺历史悠久，积累了丰富的地理标志，产品资源。</w:t>
      </w:r>
    </w:p>
    <w:p w14:paraId="7750A53A">
      <w:pPr>
        <w:shd w:val="clear" w:color="auto" w:fill="auto"/>
        <w:spacing w:line="360" w:lineRule="auto"/>
        <w:ind w:firstLine="560"/>
        <w:jc w:val="left"/>
        <w:textAlignment w:val="center"/>
        <w:rPr>
          <w:sz w:val="21"/>
        </w:rPr>
      </w:pPr>
      <w:r>
        <w:rPr>
          <w:rFonts w:ascii="楷体" w:hAnsi="楷体" w:eastAsia="楷体" w:cs="楷体"/>
          <w:sz w:val="21"/>
        </w:rPr>
        <w:t>资料二近年来，山西省以县区为地理单元建设“专业镇”，努力发展特色产业，扩大规模、升级产业。把产品“做精”，带动区域经济发展。清徐老陈醋解决了10万人以上就业；上党中药材促进了种植结构调整，平遥推光漆发展了非物质文化遗产……一个个如繁花绽放的专业镇正成为山西加快转型升级、推动经济高质量发展的重要标志。</w:t>
      </w:r>
    </w:p>
    <w:p w14:paraId="6A2B721C">
      <w:pPr>
        <w:shd w:val="clear" w:color="auto" w:fill="auto"/>
        <w:spacing w:line="360" w:lineRule="auto"/>
        <w:ind w:firstLine="560"/>
        <w:jc w:val="left"/>
        <w:textAlignment w:val="center"/>
        <w:rPr>
          <w:sz w:val="21"/>
        </w:rPr>
      </w:pPr>
      <w:r>
        <w:rPr>
          <w:rFonts w:ascii="楷体" w:hAnsi="楷体" w:eastAsia="楷体" w:cs="楷体"/>
          <w:sz w:val="21"/>
        </w:rPr>
        <w:t>资料三山西首批省级十大专业镇分布示意图。</w:t>
      </w:r>
    </w:p>
    <w:p w14:paraId="0218930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52700" cy="2800350"/>
            <wp:effectExtent l="0" t="0" r="0" b="0"/>
            <wp:docPr id="100023" name="图片 100023" descr="@@@a9e76e9f-3eac-4199-af2d-f87a759ac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a9e76e9f-3eac-4199-af2d-f87a759ac22f"/>
                    <pic:cNvPicPr>
                      <a:picLocks noChangeAspect="1"/>
                    </pic:cNvPicPr>
                  </pic:nvPicPr>
                  <pic:blipFill>
                    <a:blip r:embed="rId19"/>
                    <a:stretch>
                      <a:fillRect/>
                    </a:stretch>
                  </pic:blipFill>
                  <pic:spPr>
                    <a:xfrm>
                      <a:off x="0" y="0"/>
                      <a:ext cx="2552700" cy="2800350"/>
                    </a:xfrm>
                    <a:prstGeom prst="rect">
                      <a:avLst/>
                    </a:prstGeom>
                  </pic:spPr>
                </pic:pic>
              </a:graphicData>
            </a:graphic>
          </wp:inline>
        </w:drawing>
      </w:r>
    </w:p>
    <w:p w14:paraId="7C43AF23">
      <w:pPr>
        <w:shd w:val="clear" w:color="auto" w:fill="auto"/>
        <w:spacing w:line="360" w:lineRule="auto"/>
        <w:jc w:val="left"/>
        <w:textAlignment w:val="center"/>
        <w:rPr>
          <w:sz w:val="21"/>
        </w:rPr>
      </w:pPr>
      <w:r>
        <w:rPr>
          <w:sz w:val="21"/>
        </w:rPr>
        <w:t>探究思考：</w:t>
      </w:r>
    </w:p>
    <w:p w14:paraId="12260CF6">
      <w:pPr>
        <w:shd w:val="clear" w:color="auto" w:fill="auto"/>
        <w:spacing w:line="360" w:lineRule="auto"/>
        <w:jc w:val="left"/>
        <w:textAlignment w:val="center"/>
        <w:rPr>
          <w:sz w:val="21"/>
        </w:rPr>
      </w:pPr>
      <w:r>
        <w:rPr>
          <w:sz w:val="21"/>
        </w:rPr>
        <w:t>(1)从十大专业镇中任选两例，并说出其所在的地级市。</w:t>
      </w:r>
    </w:p>
    <w:p w14:paraId="7BA97065">
      <w:pPr>
        <w:shd w:val="clear" w:color="auto" w:fill="auto"/>
        <w:spacing w:line="360" w:lineRule="auto"/>
        <w:jc w:val="left"/>
        <w:textAlignment w:val="center"/>
        <w:rPr>
          <w:sz w:val="21"/>
        </w:rPr>
      </w:pPr>
      <w:r>
        <w:rPr>
          <w:sz w:val="21"/>
        </w:rPr>
        <w:t>(2)简要概括山西建设专业镇所带来的积极影响。</w:t>
      </w:r>
    </w:p>
    <w:p w14:paraId="1F6F37A2">
      <w:pPr>
        <w:shd w:val="clear" w:color="auto" w:fill="auto"/>
        <w:spacing w:line="360" w:lineRule="auto"/>
        <w:jc w:val="left"/>
        <w:textAlignment w:val="center"/>
        <w:rPr>
          <w:sz w:val="21"/>
        </w:rPr>
      </w:pPr>
      <w:r>
        <w:rPr>
          <w:sz w:val="21"/>
        </w:rPr>
        <w:t>(3)请你推荐一例家乡的特色产业或产品（图中十大专业镇除外），并简要介绍其特点。</w:t>
      </w:r>
    </w:p>
    <w:p w14:paraId="36774517">
      <w:pPr>
        <w:shd w:val="clear" w:color="auto" w:fill="auto"/>
        <w:spacing w:line="360" w:lineRule="auto"/>
        <w:jc w:val="left"/>
        <w:textAlignment w:val="center"/>
        <w:rPr>
          <w:sz w:val="21"/>
        </w:rPr>
      </w:pPr>
      <w:r>
        <w:rPr>
          <w:sz w:val="21"/>
        </w:rPr>
        <w:t>(4)尝试用绿色发展理念，为家乡的高质量发展提出合理建议。</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AD97E">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87A40">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B9BF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2CB1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01D34"/>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1CDB75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2599</Words>
  <Characters>2705</Characters>
  <Lines>0</Lines>
  <Paragraphs>0</Paragraphs>
  <TotalTime>4</TotalTime>
  <ScaleCrop>false</ScaleCrop>
  <LinksUpToDate>false</LinksUpToDate>
  <CharactersWithSpaces>2798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2026-01-22T09:53:46Z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52d218436af646c6895eb2d2a503095endqymzu0mtcy</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9C608F0C2E3C406EB5291FD4EC88D0F7_12</vt:lpwstr>
  </property>
</Properties>
</file>