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4F60132F">
      <w:pPr>
        <w:jc w:val="center"/>
        <w:textAlignment w:val="center"/>
        <w:rPr>
          <w:rFonts w:ascii="宋体" w:hAnsi="宋体" w:eastAsia="宋体" w:cs="宋体"/>
          <w:b/>
          <w:i w:val="0"/>
          <w:color w:val="000000"/>
          <w:sz w:val="30"/>
        </w:rPr>
      </w:pPr>
      <w:r>
        <w:drawing>
          <wp:inline distT="0" distB="0" distL="114300" distR="114300">
            <wp:extent cx="12700" cy="12700"/>
            <wp:effectExtent l="0" t="0" r="0" b="0"/>
            <wp:docPr id="100001" name="图片 1000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1" name="图片 100001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2700" cy="12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b/>
          <w:i w:val="0"/>
          <w:color w:val="000000"/>
          <w:sz w:val="30"/>
        </w:rPr>
        <w:t>2025年山东省菏泽市中考地理试题</w:t>
      </w:r>
    </w:p>
    <w:p w14:paraId="1A677DB9">
      <w:pPr>
        <w:jc w:val="center"/>
        <w:textAlignment w:val="center"/>
        <w:rPr>
          <w:rFonts w:ascii="Calibri" w:hAnsi="Calibri" w:eastAsia="Calibri" w:cs="Calibri"/>
          <w:b w:val="0"/>
          <w:i w:val="0"/>
          <w:color w:val="000000"/>
          <w:sz w:val="21"/>
        </w:rPr>
      </w:pPr>
      <w:r>
        <w:rPr>
          <w:rFonts w:ascii="Calibri" w:hAnsi="Calibri" w:eastAsia="Calibri" w:cs="Calibri"/>
          <w:b w:val="0"/>
          <w:i w:val="0"/>
          <w:color w:val="000000"/>
          <w:sz w:val="21"/>
        </w:rPr>
        <w:t>学校:___________姓名：___________班级：___________考号：___________</w:t>
      </w:r>
    </w:p>
    <w:p w14:paraId="7BDF70B1">
      <w:pPr>
        <w:jc w:val="center"/>
        <w:textAlignment w:val="center"/>
        <w:rPr>
          <w:rFonts w:ascii="黑体" w:hAnsi="黑体" w:eastAsia="黑体" w:cs="黑体"/>
          <w:b/>
          <w:i w:val="0"/>
          <w:color w:val="000000"/>
          <w:sz w:val="30"/>
        </w:rPr>
      </w:pPr>
    </w:p>
    <w:p w14:paraId="1947CA8B">
      <w:pPr>
        <w:jc w:val="left"/>
        <w:textAlignment w:val="center"/>
        <w:rPr>
          <w:rFonts w:ascii="宋体" w:hAnsi="宋体" w:eastAsia="宋体" w:cs="宋体"/>
          <w:b/>
          <w:i w:val="0"/>
          <w:color w:val="000000"/>
          <w:sz w:val="21"/>
        </w:rPr>
      </w:pPr>
      <w:r>
        <w:rPr>
          <w:rFonts w:ascii="宋体" w:hAnsi="宋体" w:eastAsia="宋体" w:cs="宋体"/>
          <w:b/>
          <w:i w:val="0"/>
          <w:color w:val="000000"/>
          <w:sz w:val="21"/>
        </w:rPr>
        <w:t>一、单选题</w:t>
      </w:r>
    </w:p>
    <w:p w14:paraId="3F2D5BD8">
      <w:pPr>
        <w:shd w:val="clear" w:color="auto" w:fill="auto"/>
        <w:spacing w:line="360" w:lineRule="auto"/>
        <w:ind w:firstLine="560"/>
        <w:jc w:val="left"/>
        <w:textAlignment w:val="center"/>
      </w:pPr>
      <w:r>
        <w:rPr>
          <w:sz w:val="21"/>
        </w:rPr>
        <w:t>2025</w:t>
      </w:r>
      <w:r>
        <w:rPr>
          <w:rFonts w:ascii="楷体" w:hAnsi="楷体" w:eastAsia="楷体" w:cs="楷体"/>
          <w:sz w:val="21"/>
        </w:rPr>
        <w:t>年</w:t>
      </w:r>
      <w:r>
        <w:rPr>
          <w:sz w:val="21"/>
        </w:rPr>
        <w:t>5</w:t>
      </w:r>
      <w:r>
        <w:rPr>
          <w:rFonts w:ascii="楷体" w:hAnsi="楷体" w:eastAsia="楷体" w:cs="楷体"/>
          <w:sz w:val="21"/>
        </w:rPr>
        <w:t>月</w:t>
      </w:r>
      <w:r>
        <w:rPr>
          <w:sz w:val="21"/>
        </w:rPr>
        <w:t>25</w:t>
      </w:r>
      <w:r>
        <w:rPr>
          <w:rFonts w:ascii="楷体" w:hAnsi="楷体" w:eastAsia="楷体" w:cs="楷体"/>
          <w:sz w:val="21"/>
        </w:rPr>
        <w:t>日，我国一名中学生成功登顶珠穆朗玛峰，成为全球第一个从北坡登顶珠峰的中学生。下图为珠穆朗玛峰附近区域等高线地形图。据此完成下面小题。</w:t>
      </w:r>
    </w:p>
    <w:p w14:paraId="64693856">
      <w:pPr>
        <w:shd w:val="clear" w:color="auto" w:fill="auto"/>
        <w:spacing w:line="360" w:lineRule="auto"/>
        <w:jc w:val="center"/>
        <w:textAlignment w:val="center"/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962150" cy="2609850"/>
            <wp:effectExtent l="0" t="0" r="0" b="0"/>
            <wp:docPr id="100003" name="图片 100003" descr="@@@9e597e24-2adc-4a7b-8922-082b05fcc95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@@@9e597e24-2adc-4a7b-8922-082b05fcc95e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962150" cy="2609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6A9FA8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1．该名中学生登山路线中，与①段相比，②段（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7E8A74B3">
      <w:pPr>
        <w:shd w:val="clear" w:color="auto" w:fill="auto"/>
        <w:tabs>
          <w:tab w:val="left" w:pos="4156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A．位于山脊坡度较陡</w:t>
      </w:r>
      <w:r>
        <w:rPr>
          <w:sz w:val="21"/>
        </w:rPr>
        <w:tab/>
      </w:r>
      <w:r>
        <w:rPr>
          <w:sz w:val="21"/>
        </w:rPr>
        <w:t>B．位于山脊坡度较缓</w:t>
      </w:r>
    </w:p>
    <w:p w14:paraId="606AEC85">
      <w:pPr>
        <w:shd w:val="clear" w:color="auto" w:fill="auto"/>
        <w:tabs>
          <w:tab w:val="left" w:pos="4156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C．位于山谷坡度较陡</w:t>
      </w:r>
      <w:r>
        <w:rPr>
          <w:sz w:val="21"/>
        </w:rPr>
        <w:tab/>
      </w:r>
      <w:r>
        <w:rPr>
          <w:sz w:val="21"/>
        </w:rPr>
        <w:t>D．位于山谷坡度较缓</w:t>
      </w:r>
    </w:p>
    <w:p w14:paraId="61F7D3C2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2．该名中学生从突击营地历时5个多小时登顶珠穆朗玛峰，攀登的相对高度可能是（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7DE39135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A．448.86米</w:t>
      </w:r>
      <w:r>
        <w:rPr>
          <w:sz w:val="21"/>
        </w:rPr>
        <w:tab/>
      </w:r>
      <w:r>
        <w:rPr>
          <w:sz w:val="21"/>
        </w:rPr>
        <w:t>B．548.86米</w:t>
      </w:r>
      <w:r>
        <w:rPr>
          <w:sz w:val="21"/>
        </w:rPr>
        <w:tab/>
      </w:r>
      <w:r>
        <w:rPr>
          <w:sz w:val="21"/>
        </w:rPr>
        <w:t>C．848.86米</w:t>
      </w:r>
      <w:r>
        <w:rPr>
          <w:sz w:val="21"/>
        </w:rPr>
        <w:tab/>
      </w:r>
      <w:r>
        <w:rPr>
          <w:sz w:val="21"/>
        </w:rPr>
        <w:t>D．8848.86米</w:t>
      </w:r>
    </w:p>
    <w:p w14:paraId="3BD2819E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  <w:rPr>
          <w:sz w:val="21"/>
        </w:rPr>
      </w:pPr>
    </w:p>
    <w:p w14:paraId="176316CD">
      <w:pPr>
        <w:shd w:val="clear" w:color="auto" w:fill="auto"/>
        <w:spacing w:line="360" w:lineRule="auto"/>
        <w:ind w:firstLine="560"/>
        <w:jc w:val="left"/>
        <w:textAlignment w:val="center"/>
        <w:rPr>
          <w:sz w:val="21"/>
        </w:rPr>
      </w:pPr>
      <w:r>
        <w:rPr>
          <w:rFonts w:ascii="楷体" w:hAnsi="楷体" w:eastAsia="楷体" w:cs="楷体"/>
          <w:sz w:val="21"/>
        </w:rPr>
        <w:t>超级火山喷发是指喷发岩浆总质量大，且火山爆发指数达</w:t>
      </w:r>
      <w:r>
        <w:rPr>
          <w:sz w:val="21"/>
        </w:rPr>
        <w:t>8</w:t>
      </w:r>
      <w:r>
        <w:rPr>
          <w:rFonts w:ascii="楷体" w:hAnsi="楷体" w:eastAsia="楷体" w:cs="楷体"/>
          <w:sz w:val="21"/>
        </w:rPr>
        <w:t>级或以上的短时间爆破式喷发。下图示意全球六大板块与超级火山喷发地分布。据此完成下面小题。</w:t>
      </w:r>
    </w:p>
    <w:p w14:paraId="136DA351">
      <w:pPr>
        <w:shd w:val="clear" w:color="auto" w:fill="auto"/>
        <w:spacing w:line="360" w:lineRule="auto"/>
        <w:jc w:val="center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3038475" cy="1905000"/>
            <wp:effectExtent l="0" t="0" r="9525" b="0"/>
            <wp:docPr id="100005" name="图片 100005" descr="@@@d6bb749e-bbe5-40ad-8660-975ef35e7f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@@@d6bb749e-bbe5-40ad-8660-975ef35e7f60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038475" cy="1905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FC16B0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3．北美洲西部超级火山多发的原因是（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4FE573BC">
      <w:pPr>
        <w:shd w:val="clear" w:color="auto" w:fill="auto"/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A．位于美洲板块与太平洋板块交界的地带，地壳稳定</w:t>
      </w:r>
    </w:p>
    <w:p w14:paraId="22A33916">
      <w:pPr>
        <w:shd w:val="clear" w:color="auto" w:fill="auto"/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B．位于美洲板块与太平洋板块交界的地带，地壳活跃</w:t>
      </w:r>
    </w:p>
    <w:p w14:paraId="03452902">
      <w:pPr>
        <w:shd w:val="clear" w:color="auto" w:fill="auto"/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C．位于美洲板块与南极洲板块交界的地带，地壳稳定</w:t>
      </w:r>
    </w:p>
    <w:p w14:paraId="3FE3E76F">
      <w:pPr>
        <w:shd w:val="clear" w:color="auto" w:fill="auto"/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D．位于美洲板块与南极洲板块交界的地带，地壳活跃</w:t>
      </w:r>
    </w:p>
    <w:p w14:paraId="718ADF6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4．据图推测，未来可能出现（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6C749AFE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A．地中海面积扩大</w:t>
      </w:r>
      <w:r>
        <w:rPr>
          <w:sz w:val="21"/>
        </w:rPr>
        <w:tab/>
      </w:r>
      <w:r>
        <w:rPr>
          <w:sz w:val="21"/>
        </w:rPr>
        <w:t>B．红海面积缩小</w:t>
      </w:r>
      <w:r>
        <w:rPr>
          <w:sz w:val="21"/>
        </w:rPr>
        <w:tab/>
      </w:r>
    </w:p>
    <w:p w14:paraId="7E40FD34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C．喜马拉雅山脉变矮</w:t>
      </w:r>
      <w:r>
        <w:rPr>
          <w:sz w:val="21"/>
        </w:rPr>
        <w:tab/>
      </w:r>
      <w:r>
        <w:rPr>
          <w:sz w:val="21"/>
        </w:rPr>
        <w:t>D．大西洋面积扩大</w:t>
      </w:r>
    </w:p>
    <w:p w14:paraId="301F0F75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  <w:rPr>
          <w:sz w:val="21"/>
        </w:rPr>
      </w:pPr>
    </w:p>
    <w:p w14:paraId="79C8EAB3">
      <w:pPr>
        <w:shd w:val="clear" w:color="auto" w:fill="auto"/>
        <w:spacing w:line="360" w:lineRule="auto"/>
        <w:ind w:firstLine="560"/>
        <w:jc w:val="left"/>
        <w:textAlignment w:val="center"/>
        <w:rPr>
          <w:sz w:val="21"/>
        </w:rPr>
      </w:pPr>
      <w:r>
        <w:rPr>
          <w:rFonts w:ascii="楷体" w:hAnsi="楷体" w:eastAsia="楷体" w:cs="楷体"/>
          <w:sz w:val="21"/>
        </w:rPr>
        <w:t>亚冬会是亚洲规模最大的综合性冰雪运动会。</w:t>
      </w:r>
      <w:r>
        <w:rPr>
          <w:sz w:val="21"/>
        </w:rPr>
        <w:t>2025</w:t>
      </w:r>
      <w:r>
        <w:rPr>
          <w:rFonts w:ascii="楷体" w:hAnsi="楷体" w:eastAsia="楷体" w:cs="楷体"/>
          <w:sz w:val="21"/>
        </w:rPr>
        <w:t>年</w:t>
      </w:r>
      <w:r>
        <w:rPr>
          <w:sz w:val="21"/>
        </w:rPr>
        <w:t>2</w:t>
      </w:r>
      <w:r>
        <w:rPr>
          <w:rFonts w:ascii="楷体" w:hAnsi="楷体" w:eastAsia="楷体" w:cs="楷体"/>
          <w:sz w:val="21"/>
        </w:rPr>
        <w:t>月，我国哈尔滨成功举办第九届亚冬会。第十届亚冬会将在沙特阿拉伯特鲁吉纳举行。下图为历届亚冬会举办地示意图。据此完成下面小题。</w:t>
      </w:r>
    </w:p>
    <w:p w14:paraId="598D94EA">
      <w:pPr>
        <w:shd w:val="clear" w:color="auto" w:fill="auto"/>
        <w:spacing w:line="360" w:lineRule="auto"/>
        <w:jc w:val="center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2619375" cy="2028825"/>
            <wp:effectExtent l="0" t="0" r="9525" b="9525"/>
            <wp:docPr id="100007" name="图片 100007" descr="@@@822d007c-beed-4de2-8f99-472fc9d938d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@@@822d007c-beed-4de2-8f99-472fc9d938de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619375" cy="2028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0AE3B0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5．历届亚冬会举办地均（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41642C4D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A．在发达国家</w:t>
      </w:r>
      <w:r>
        <w:rPr>
          <w:sz w:val="21"/>
        </w:rPr>
        <w:tab/>
      </w:r>
      <w:r>
        <w:rPr>
          <w:sz w:val="21"/>
        </w:rPr>
        <w:t>B．位于东南亚</w:t>
      </w:r>
      <w:r>
        <w:rPr>
          <w:sz w:val="21"/>
        </w:rPr>
        <w:tab/>
      </w:r>
      <w:r>
        <w:rPr>
          <w:sz w:val="21"/>
        </w:rPr>
        <w:t>C．位于北温带</w:t>
      </w:r>
      <w:r>
        <w:rPr>
          <w:sz w:val="21"/>
        </w:rPr>
        <w:tab/>
      </w:r>
      <w:r>
        <w:rPr>
          <w:sz w:val="21"/>
        </w:rPr>
        <w:t>D．属季风气候</w:t>
      </w:r>
    </w:p>
    <w:p w14:paraId="3001ADE4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6．与特鲁吉纳相比，哈尔滨举办亚冬会的有利条件是（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0A70E52E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A．旅游资源丰富</w:t>
      </w:r>
      <w:r>
        <w:rPr>
          <w:sz w:val="21"/>
        </w:rPr>
        <w:tab/>
      </w:r>
      <w:r>
        <w:rPr>
          <w:rFonts w:hint="eastAsia"/>
          <w:sz w:val="21"/>
          <w:lang w:val="en-US" w:eastAsia="zh-CN"/>
        </w:rPr>
        <w:t xml:space="preserve">        </w:t>
      </w:r>
      <w:r>
        <w:rPr>
          <w:sz w:val="21"/>
        </w:rPr>
        <w:t>B．濒临海洋，交通便利</w:t>
      </w:r>
      <w:r>
        <w:rPr>
          <w:sz w:val="21"/>
        </w:rPr>
        <w:tab/>
      </w:r>
    </w:p>
    <w:p w14:paraId="27AE3438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C．农业基础较好</w:t>
      </w:r>
      <w:r>
        <w:rPr>
          <w:sz w:val="21"/>
        </w:rPr>
        <w:tab/>
      </w:r>
      <w:r>
        <w:rPr>
          <w:rFonts w:hint="eastAsia"/>
          <w:sz w:val="21"/>
          <w:lang w:val="en-US" w:eastAsia="zh-CN"/>
        </w:rPr>
        <w:t xml:space="preserve">         </w:t>
      </w:r>
      <w:r>
        <w:rPr>
          <w:sz w:val="21"/>
        </w:rPr>
        <w:t>D．纬度较高，积雪期长</w:t>
      </w:r>
    </w:p>
    <w:p w14:paraId="5215C406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  <w:rPr>
          <w:sz w:val="21"/>
        </w:rPr>
      </w:pPr>
    </w:p>
    <w:p w14:paraId="7A92C9CC">
      <w:pPr>
        <w:shd w:val="clear" w:color="auto" w:fill="auto"/>
        <w:spacing w:line="360" w:lineRule="auto"/>
        <w:ind w:firstLine="560"/>
        <w:jc w:val="left"/>
        <w:textAlignment w:val="center"/>
        <w:rPr>
          <w:sz w:val="21"/>
        </w:rPr>
      </w:pPr>
      <w:r>
        <w:rPr>
          <w:sz w:val="21"/>
        </w:rPr>
        <w:t>2024</w:t>
      </w:r>
      <w:r>
        <w:rPr>
          <w:rFonts w:ascii="楷体" w:hAnsi="楷体" w:eastAsia="楷体" w:cs="楷体"/>
          <w:sz w:val="21"/>
        </w:rPr>
        <w:t>年</w:t>
      </w:r>
      <w:r>
        <w:rPr>
          <w:sz w:val="21"/>
        </w:rPr>
        <w:t>8</w:t>
      </w:r>
      <w:r>
        <w:rPr>
          <w:rFonts w:ascii="楷体" w:hAnsi="楷体" w:eastAsia="楷体" w:cs="楷体"/>
          <w:sz w:val="21"/>
        </w:rPr>
        <w:t>月，亚马尔天然气项目定制船型</w:t>
      </w:r>
      <w:r>
        <w:rPr>
          <w:sz w:val="21"/>
        </w:rPr>
        <w:t>“</w:t>
      </w:r>
      <w:r>
        <w:rPr>
          <w:rFonts w:ascii="楷体" w:hAnsi="楷体" w:eastAsia="楷体" w:cs="楷体"/>
          <w:sz w:val="21"/>
        </w:rPr>
        <w:t>尼古拉</w:t>
      </w:r>
      <w:r>
        <w:rPr>
          <w:sz w:val="21"/>
        </w:rPr>
        <w:t>”</w:t>
      </w:r>
      <w:r>
        <w:rPr>
          <w:rFonts w:ascii="楷体" w:hAnsi="楷体" w:eastAsia="楷体" w:cs="楷体"/>
          <w:sz w:val="21"/>
        </w:rPr>
        <w:t>轮船从亚马尔半岛萨贝塔港出发，</w:t>
      </w:r>
      <w:r>
        <w:rPr>
          <w:sz w:val="21"/>
        </w:rPr>
        <w:t>9</w:t>
      </w:r>
      <w:r>
        <w:rPr>
          <w:rFonts w:ascii="楷体" w:hAnsi="楷体" w:eastAsia="楷体" w:cs="楷体"/>
          <w:sz w:val="21"/>
        </w:rPr>
        <w:t>月初靠泊江苏省洋口港。下图示意此次运输航线。据此完成下面小题。</w:t>
      </w:r>
    </w:p>
    <w:p w14:paraId="4DB205A1">
      <w:pPr>
        <w:shd w:val="clear" w:color="auto" w:fill="auto"/>
        <w:spacing w:line="360" w:lineRule="auto"/>
        <w:jc w:val="center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2514600" cy="2257425"/>
            <wp:effectExtent l="0" t="0" r="0" b="9525"/>
            <wp:docPr id="100009" name="图片 100009" descr="@@@19dbcba1-860d-4004-94a1-58eddb32db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@@@19dbcba1-860d-4004-94a1-58eddb32db22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514600" cy="2257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B3F2DD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7．“尼古拉”轮船在向洋口港航行中依次途经（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68D9BD09">
      <w:pPr>
        <w:shd w:val="clear" w:color="auto" w:fill="auto"/>
        <w:tabs>
          <w:tab w:val="left" w:pos="4156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A．北冰洋、白令海峡、太平洋</w:t>
      </w:r>
      <w:r>
        <w:rPr>
          <w:sz w:val="21"/>
        </w:rPr>
        <w:tab/>
      </w:r>
      <w:r>
        <w:rPr>
          <w:sz w:val="21"/>
        </w:rPr>
        <w:t>B．太平洋、马六甲海峡、印度洋</w:t>
      </w:r>
    </w:p>
    <w:p w14:paraId="4A875B17">
      <w:pPr>
        <w:shd w:val="clear" w:color="auto" w:fill="auto"/>
        <w:tabs>
          <w:tab w:val="left" w:pos="4156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C．太平洋、白令海峡、北冰洋</w:t>
      </w:r>
      <w:r>
        <w:rPr>
          <w:sz w:val="21"/>
        </w:rPr>
        <w:tab/>
      </w:r>
      <w:r>
        <w:rPr>
          <w:sz w:val="21"/>
        </w:rPr>
        <w:t>D．大西洋、苏伊士运河、印度洋</w:t>
      </w:r>
    </w:p>
    <w:p w14:paraId="5C6F04D2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8．在此次航行途中，可能看到的地理事象有（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1020A94F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A．巨厚的冰盖</w:t>
      </w:r>
      <w:r>
        <w:rPr>
          <w:sz w:val="21"/>
        </w:rPr>
        <w:tab/>
      </w:r>
      <w:r>
        <w:rPr>
          <w:sz w:val="21"/>
        </w:rPr>
        <w:t>B．觅食的企鹅</w:t>
      </w:r>
      <w:r>
        <w:rPr>
          <w:sz w:val="21"/>
        </w:rPr>
        <w:tab/>
      </w:r>
      <w:r>
        <w:rPr>
          <w:sz w:val="21"/>
        </w:rPr>
        <w:t>C．密布的雨林</w:t>
      </w:r>
      <w:r>
        <w:rPr>
          <w:sz w:val="21"/>
        </w:rPr>
        <w:tab/>
      </w:r>
      <w:r>
        <w:rPr>
          <w:sz w:val="21"/>
        </w:rPr>
        <w:t>D．漂动的冰山</w:t>
      </w:r>
    </w:p>
    <w:p w14:paraId="2EDD2129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  <w:rPr>
          <w:sz w:val="21"/>
        </w:rPr>
      </w:pPr>
    </w:p>
    <w:p w14:paraId="7344FC33">
      <w:pPr>
        <w:shd w:val="clear" w:color="auto" w:fill="auto"/>
        <w:spacing w:line="360" w:lineRule="auto"/>
        <w:ind w:firstLine="560"/>
        <w:jc w:val="left"/>
        <w:textAlignment w:val="center"/>
        <w:rPr>
          <w:sz w:val="21"/>
        </w:rPr>
      </w:pPr>
      <w:r>
        <w:rPr>
          <w:rFonts w:ascii="楷体" w:hAnsi="楷体" w:eastAsia="楷体" w:cs="楷体"/>
          <w:sz w:val="21"/>
        </w:rPr>
        <w:t>巴西和澳大利亚都是所属大洲经济实力最强的国家，钢铁工业是两国主要的工业部门之一。图</w:t>
      </w:r>
      <w:r>
        <w:rPr>
          <w:sz w:val="21"/>
        </w:rPr>
        <w:t>1</w:t>
      </w:r>
      <w:r>
        <w:rPr>
          <w:rFonts w:ascii="楷体" w:hAnsi="楷体" w:eastAsia="楷体" w:cs="楷体"/>
          <w:sz w:val="21"/>
        </w:rPr>
        <w:t>为巴西简图，图</w:t>
      </w:r>
      <w:r>
        <w:rPr>
          <w:sz w:val="21"/>
        </w:rPr>
        <w:t>2</w:t>
      </w:r>
      <w:r>
        <w:rPr>
          <w:rFonts w:ascii="楷体" w:hAnsi="楷体" w:eastAsia="楷体" w:cs="楷体"/>
          <w:sz w:val="21"/>
        </w:rPr>
        <w:t>为澳大利亚简图。据此完成下面小题。</w:t>
      </w:r>
    </w:p>
    <w:p w14:paraId="5BB9B7A1">
      <w:pPr>
        <w:shd w:val="clear" w:color="auto" w:fill="auto"/>
        <w:spacing w:line="360" w:lineRule="auto"/>
        <w:jc w:val="center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2105025" cy="1828800"/>
            <wp:effectExtent l="0" t="0" r="9525" b="0"/>
            <wp:docPr id="100011" name="图片 100011" descr="@@@57cf78ab-584b-4f9c-9b10-9b2c6f48a11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@@@57cf78ab-584b-4f9c-9b10-9b2c6f48a11e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105025" cy="1828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 </w:t>
      </w: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724025" cy="1771650"/>
            <wp:effectExtent l="0" t="0" r="9525" b="0"/>
            <wp:docPr id="100013" name="图片 100013" descr="@@@7e2d7133-f40f-454a-b52e-9acfab6e5bd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@@@7e2d7133-f40f-454a-b52e-9acfab6e5bd7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724025" cy="1771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E9E77C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9．两国共同的人文地理特征有（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5810A494">
      <w:pPr>
        <w:shd w:val="clear" w:color="auto" w:fill="auto"/>
        <w:tabs>
          <w:tab w:val="left" w:pos="4156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A．人口多集中在内陆地区</w:t>
      </w:r>
      <w:r>
        <w:rPr>
          <w:sz w:val="21"/>
        </w:rPr>
        <w:tab/>
      </w:r>
      <w:r>
        <w:rPr>
          <w:sz w:val="21"/>
        </w:rPr>
        <w:t>B．首都是全国第一大城市</w:t>
      </w:r>
    </w:p>
    <w:p w14:paraId="32C98A0F">
      <w:pPr>
        <w:shd w:val="clear" w:color="auto" w:fill="auto"/>
        <w:tabs>
          <w:tab w:val="left" w:pos="4156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C．铁路多分布在沿海地区</w:t>
      </w:r>
      <w:r>
        <w:rPr>
          <w:sz w:val="21"/>
        </w:rPr>
        <w:tab/>
      </w:r>
      <w:r>
        <w:rPr>
          <w:sz w:val="21"/>
        </w:rPr>
        <w:t>D．咖啡、羊毛出口量巨大</w:t>
      </w:r>
    </w:p>
    <w:p w14:paraId="2D42175F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10．两国发展钢铁工业的共同优势条件是（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1F639C3B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A．铁矿资源丰富</w:t>
      </w:r>
      <w:r>
        <w:rPr>
          <w:sz w:val="21"/>
        </w:rPr>
        <w:tab/>
      </w:r>
      <w:r>
        <w:rPr>
          <w:sz w:val="21"/>
        </w:rPr>
        <w:t>B．劳动力丰富</w:t>
      </w:r>
      <w:r>
        <w:rPr>
          <w:sz w:val="21"/>
        </w:rPr>
        <w:tab/>
      </w:r>
      <w:r>
        <w:rPr>
          <w:sz w:val="21"/>
        </w:rPr>
        <w:t>C．国内市场广阔</w:t>
      </w:r>
      <w:r>
        <w:rPr>
          <w:sz w:val="21"/>
        </w:rPr>
        <w:tab/>
      </w:r>
      <w:r>
        <w:rPr>
          <w:sz w:val="21"/>
        </w:rPr>
        <w:t>D．环境质量好</w:t>
      </w:r>
    </w:p>
    <w:p w14:paraId="2C2F184D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  <w:rPr>
          <w:sz w:val="21"/>
        </w:rPr>
      </w:pPr>
    </w:p>
    <w:p w14:paraId="10710C57">
      <w:pPr>
        <w:shd w:val="clear" w:color="auto" w:fill="auto"/>
        <w:spacing w:line="360" w:lineRule="auto"/>
        <w:ind w:firstLine="560"/>
        <w:jc w:val="left"/>
        <w:textAlignment w:val="center"/>
        <w:rPr>
          <w:sz w:val="21"/>
        </w:rPr>
      </w:pPr>
      <w:r>
        <w:rPr>
          <w:rFonts w:ascii="楷体" w:hAnsi="楷体" w:eastAsia="楷体" w:cs="楷体"/>
          <w:sz w:val="21"/>
        </w:rPr>
        <w:t>当地时间</w:t>
      </w:r>
      <w:r>
        <w:rPr>
          <w:sz w:val="21"/>
        </w:rPr>
        <w:t>2025</w:t>
      </w:r>
      <w:r>
        <w:rPr>
          <w:rFonts w:ascii="楷体" w:hAnsi="楷体" w:eastAsia="楷体" w:cs="楷体"/>
          <w:sz w:val="21"/>
        </w:rPr>
        <w:t>年</w:t>
      </w:r>
      <w:r>
        <w:rPr>
          <w:sz w:val="21"/>
        </w:rPr>
        <w:t>1</w:t>
      </w:r>
      <w:r>
        <w:rPr>
          <w:rFonts w:ascii="楷体" w:hAnsi="楷体" w:eastAsia="楷体" w:cs="楷体"/>
          <w:sz w:val="21"/>
        </w:rPr>
        <w:t>月</w:t>
      </w:r>
      <w:r>
        <w:rPr>
          <w:sz w:val="21"/>
        </w:rPr>
        <w:t>28</w:t>
      </w:r>
      <w:r>
        <w:rPr>
          <w:rFonts w:ascii="楷体" w:hAnsi="楷体" w:eastAsia="楷体" w:cs="楷体"/>
          <w:sz w:val="21"/>
        </w:rPr>
        <w:t>日</w:t>
      </w:r>
      <w:r>
        <w:rPr>
          <w:sz w:val="21"/>
        </w:rPr>
        <w:t>17:30</w:t>
      </w:r>
      <w:r>
        <w:rPr>
          <w:rFonts w:ascii="楷体" w:hAnsi="楷体" w:eastAsia="楷体" w:cs="楷体"/>
          <w:sz w:val="21"/>
        </w:rPr>
        <w:t>，</w:t>
      </w:r>
      <w:r>
        <w:rPr>
          <w:sz w:val="21"/>
        </w:rPr>
        <w:t>“</w:t>
      </w:r>
      <w:r>
        <w:rPr>
          <w:rFonts w:ascii="楷体" w:hAnsi="楷体" w:eastAsia="楷体" w:cs="楷体"/>
          <w:sz w:val="21"/>
        </w:rPr>
        <w:t>中国春节文化节</w:t>
      </w:r>
      <w:r>
        <w:rPr>
          <w:sz w:val="21"/>
        </w:rPr>
        <w:t>”</w:t>
      </w:r>
      <w:r>
        <w:rPr>
          <w:rFonts w:ascii="楷体" w:hAnsi="楷体" w:eastAsia="楷体" w:cs="楷体"/>
          <w:sz w:val="21"/>
        </w:rPr>
        <w:t>在莫斯科启动。活动内容包括新春庙会、民乐演出、非遗展示等，吸引超过</w:t>
      </w:r>
      <w:r>
        <w:rPr>
          <w:sz w:val="21"/>
        </w:rPr>
        <w:t>150</w:t>
      </w:r>
      <w:r>
        <w:rPr>
          <w:rFonts w:ascii="楷体" w:hAnsi="楷体" w:eastAsia="楷体" w:cs="楷体"/>
          <w:sz w:val="21"/>
        </w:rPr>
        <w:t>万名游客参与。据此完成下面小题。</w:t>
      </w:r>
    </w:p>
    <w:p w14:paraId="63A36334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11．“中国春节文化节”启动仪式开始时，北京时间是22：30。产生这一时间差异的原因是（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2EBDC414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A．地球形状</w:t>
      </w:r>
      <w:r>
        <w:rPr>
          <w:sz w:val="21"/>
        </w:rPr>
        <w:tab/>
      </w:r>
      <w:r>
        <w:rPr>
          <w:sz w:val="21"/>
        </w:rPr>
        <w:t>B．地球大小</w:t>
      </w:r>
      <w:r>
        <w:rPr>
          <w:sz w:val="21"/>
        </w:rPr>
        <w:tab/>
      </w:r>
      <w:r>
        <w:rPr>
          <w:sz w:val="21"/>
        </w:rPr>
        <w:t>C．地球自转</w:t>
      </w:r>
      <w:r>
        <w:rPr>
          <w:sz w:val="21"/>
        </w:rPr>
        <w:tab/>
      </w:r>
      <w:r>
        <w:rPr>
          <w:sz w:val="21"/>
        </w:rPr>
        <w:t>D．地球公转</w:t>
      </w:r>
    </w:p>
    <w:p w14:paraId="7F2EAB4A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12．中俄文化交流的推进，标志着（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6A29E522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A．多元文化走向趋同</w:t>
      </w:r>
      <w:r>
        <w:rPr>
          <w:sz w:val="21"/>
        </w:rPr>
        <w:tab/>
      </w:r>
      <w:r>
        <w:rPr>
          <w:sz w:val="21"/>
        </w:rPr>
        <w:t>B．国际合作日益紧密</w:t>
      </w:r>
      <w:r>
        <w:rPr>
          <w:sz w:val="21"/>
        </w:rPr>
        <w:tab/>
      </w:r>
    </w:p>
    <w:p w14:paraId="37BE9F51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C．实地距离不断缩小</w:t>
      </w:r>
      <w:r>
        <w:rPr>
          <w:sz w:val="21"/>
        </w:rPr>
        <w:tab/>
      </w:r>
      <w:r>
        <w:rPr>
          <w:sz w:val="21"/>
        </w:rPr>
        <w:t>D．经济水平趋向均衡</w:t>
      </w:r>
    </w:p>
    <w:p w14:paraId="04C2985C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  <w:rPr>
          <w:sz w:val="21"/>
        </w:rPr>
      </w:pPr>
    </w:p>
    <w:p w14:paraId="259B9721">
      <w:pPr>
        <w:shd w:val="clear" w:color="auto" w:fill="auto"/>
        <w:spacing w:line="360" w:lineRule="auto"/>
        <w:ind w:firstLine="560"/>
        <w:jc w:val="left"/>
        <w:textAlignment w:val="center"/>
        <w:rPr>
          <w:sz w:val="21"/>
        </w:rPr>
      </w:pPr>
      <w:r>
        <w:rPr>
          <w:rFonts w:ascii="楷体" w:hAnsi="楷体" w:eastAsia="楷体" w:cs="楷体"/>
          <w:sz w:val="21"/>
        </w:rPr>
        <w:t>二十四节气是中华优秀传统文化的精粹。不同节气中，我国不同地区的人们开展特定的农事活动。图为某初中生绘制的</w:t>
      </w:r>
      <w:r>
        <w:rPr>
          <w:sz w:val="21"/>
        </w:rPr>
        <w:t>“</w:t>
      </w:r>
      <w:r>
        <w:rPr>
          <w:rFonts w:ascii="楷体" w:hAnsi="楷体" w:eastAsia="楷体" w:cs="楷体"/>
          <w:sz w:val="21"/>
        </w:rPr>
        <w:t>节气与播种节</w:t>
      </w:r>
      <w:r>
        <w:rPr>
          <w:sz w:val="21"/>
        </w:rPr>
        <w:t>”</w:t>
      </w:r>
      <w:r>
        <w:rPr>
          <w:rFonts w:ascii="楷体" w:hAnsi="楷体" w:eastAsia="楷体" w:cs="楷体"/>
          <w:sz w:val="21"/>
        </w:rPr>
        <w:t>手抄报。据此完成下面小题。</w:t>
      </w:r>
    </w:p>
    <w:p w14:paraId="484EB799">
      <w:pPr>
        <w:shd w:val="clear" w:color="auto" w:fill="auto"/>
        <w:spacing w:line="360" w:lineRule="auto"/>
        <w:jc w:val="center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3095625" cy="1485900"/>
            <wp:effectExtent l="0" t="0" r="9525" b="0"/>
            <wp:docPr id="100015" name="图片 100015" descr="@@@4b20ce21-05a8-4851-93db-cc6b9242599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@@@4b20ce21-05a8-4851-93db-cc6b9242599c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095625" cy="1485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40904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13．图中两个省级行政区的简称分别是（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31848089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A．皖湘</w:t>
      </w:r>
      <w:r>
        <w:rPr>
          <w:sz w:val="21"/>
        </w:rPr>
        <w:tab/>
      </w:r>
      <w:r>
        <w:rPr>
          <w:sz w:val="21"/>
        </w:rPr>
        <w:t>B．冀闽</w:t>
      </w:r>
      <w:r>
        <w:rPr>
          <w:sz w:val="21"/>
        </w:rPr>
        <w:tab/>
      </w:r>
      <w:r>
        <w:rPr>
          <w:sz w:val="21"/>
        </w:rPr>
        <w:t>C．云吉</w:t>
      </w:r>
      <w:r>
        <w:rPr>
          <w:sz w:val="21"/>
        </w:rPr>
        <w:tab/>
      </w:r>
      <w:r>
        <w:rPr>
          <w:sz w:val="21"/>
        </w:rPr>
        <w:t>D．蜀豫</w:t>
      </w:r>
    </w:p>
    <w:p w14:paraId="4E1F929D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14．两地举办播种节的节气不同，是因为与成都相比，郑州（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3AE5A1A2">
      <w:pPr>
        <w:shd w:val="clear" w:color="auto" w:fill="auto"/>
        <w:tabs>
          <w:tab w:val="left" w:pos="4156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A．纬度较高，热量较少</w:t>
      </w:r>
      <w:r>
        <w:rPr>
          <w:sz w:val="21"/>
        </w:rPr>
        <w:tab/>
      </w:r>
      <w:r>
        <w:rPr>
          <w:sz w:val="21"/>
        </w:rPr>
        <w:t>B．位于第三级阶梯，耕地多</w:t>
      </w:r>
    </w:p>
    <w:p w14:paraId="44E73F78">
      <w:pPr>
        <w:shd w:val="clear" w:color="auto" w:fill="auto"/>
        <w:tabs>
          <w:tab w:val="left" w:pos="4156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C．人口密度大，气温高</w:t>
      </w:r>
      <w:r>
        <w:rPr>
          <w:sz w:val="21"/>
        </w:rPr>
        <w:tab/>
      </w:r>
      <w:r>
        <w:rPr>
          <w:sz w:val="21"/>
        </w:rPr>
        <w:t>D．距离海洋较近，降水丰富</w:t>
      </w:r>
    </w:p>
    <w:p w14:paraId="16460637">
      <w:pPr>
        <w:shd w:val="clear" w:color="auto" w:fill="auto"/>
        <w:tabs>
          <w:tab w:val="left" w:pos="4156"/>
        </w:tabs>
        <w:spacing w:line="360" w:lineRule="auto"/>
        <w:ind w:left="380"/>
        <w:jc w:val="left"/>
        <w:textAlignment w:val="center"/>
        <w:rPr>
          <w:sz w:val="21"/>
        </w:rPr>
      </w:pPr>
    </w:p>
    <w:p w14:paraId="30F0F775">
      <w:pPr>
        <w:shd w:val="clear" w:color="auto" w:fill="auto"/>
        <w:spacing w:line="360" w:lineRule="auto"/>
        <w:ind w:firstLine="560"/>
        <w:jc w:val="left"/>
        <w:textAlignment w:val="center"/>
        <w:rPr>
          <w:sz w:val="21"/>
        </w:rPr>
      </w:pPr>
      <w:r>
        <w:rPr>
          <w:sz w:val="21"/>
        </w:rPr>
        <w:t>2024</w:t>
      </w:r>
      <w:r>
        <w:rPr>
          <w:rFonts w:ascii="楷体" w:hAnsi="楷体" w:eastAsia="楷体" w:cs="楷体"/>
          <w:sz w:val="21"/>
        </w:rPr>
        <w:t>年</w:t>
      </w:r>
      <w:r>
        <w:rPr>
          <w:sz w:val="21"/>
        </w:rPr>
        <w:t>7</w:t>
      </w:r>
      <w:r>
        <w:rPr>
          <w:rFonts w:ascii="楷体" w:hAnsi="楷体" w:eastAsia="楷体" w:cs="楷体"/>
          <w:sz w:val="21"/>
        </w:rPr>
        <w:t>月，</w:t>
      </w:r>
      <w:r>
        <w:rPr>
          <w:sz w:val="21"/>
        </w:rPr>
        <w:t>“</w:t>
      </w:r>
      <w:r>
        <w:rPr>
          <w:rFonts w:ascii="楷体" w:hAnsi="楷体" w:eastAsia="楷体" w:cs="楷体"/>
          <w:sz w:val="21"/>
        </w:rPr>
        <w:t>北京中轴线—中国理想都城秩序的杰作</w:t>
      </w:r>
      <w:r>
        <w:rPr>
          <w:sz w:val="21"/>
        </w:rPr>
        <w:t>”</w:t>
      </w:r>
      <w:r>
        <w:rPr>
          <w:rFonts w:ascii="楷体" w:hAnsi="楷体" w:eastAsia="楷体" w:cs="楷体"/>
          <w:sz w:val="21"/>
        </w:rPr>
        <w:t>被列入《世界遗产名录》。中轴线两侧保留着大量的北京四合院（图</w:t>
      </w:r>
      <w:r>
        <w:rPr>
          <w:sz w:val="21"/>
        </w:rPr>
        <w:t>1</w:t>
      </w:r>
      <w:r>
        <w:rPr>
          <w:rFonts w:ascii="楷体" w:hAnsi="楷体" w:eastAsia="楷体" w:cs="楷体"/>
          <w:sz w:val="21"/>
        </w:rPr>
        <w:t>）。随着数字产业的发展，</w:t>
      </w:r>
      <w:r>
        <w:rPr>
          <w:sz w:val="21"/>
        </w:rPr>
        <w:t>“</w:t>
      </w:r>
      <w:r>
        <w:rPr>
          <w:rFonts w:ascii="楷体" w:hAnsi="楷体" w:eastAsia="楷体" w:cs="楷体"/>
          <w:sz w:val="21"/>
        </w:rPr>
        <w:t>云上中轴</w:t>
      </w:r>
      <w:r>
        <w:rPr>
          <w:sz w:val="21"/>
        </w:rPr>
        <w:t>”</w:t>
      </w:r>
      <w:r>
        <w:rPr>
          <w:rFonts w:ascii="楷体" w:hAnsi="楷体" w:eastAsia="楷体" w:cs="楷体"/>
          <w:sz w:val="21"/>
        </w:rPr>
        <w:t>成为文化遗产传播的有效形式，可让公众沉浸式感受北京四合院的魅力。图</w:t>
      </w:r>
      <w:r>
        <w:rPr>
          <w:sz w:val="21"/>
        </w:rPr>
        <w:t>2</w:t>
      </w:r>
      <w:r>
        <w:rPr>
          <w:rFonts w:ascii="楷体" w:hAnsi="楷体" w:eastAsia="楷体" w:cs="楷体"/>
          <w:sz w:val="21"/>
        </w:rPr>
        <w:t>为北京气温年变化曲线和逐月降水量图。据此完成下面小题。</w:t>
      </w:r>
    </w:p>
    <w:p w14:paraId="7B39A9C3">
      <w:pPr>
        <w:shd w:val="clear" w:color="auto" w:fill="auto"/>
        <w:spacing w:line="360" w:lineRule="auto"/>
        <w:jc w:val="center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2190750" cy="1866900"/>
            <wp:effectExtent l="0" t="0" r="0" b="0"/>
            <wp:docPr id="100017" name="图片 100017" descr="@@@dbc03d2c-4fed-4217-babc-2dbc5f1c9ca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@@@dbc03d2c-4fed-4217-babc-2dbc5f1c9cad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2190750" cy="1866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</w:t>
      </w: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381125" cy="1666875"/>
            <wp:effectExtent l="0" t="0" r="9525" b="9525"/>
            <wp:docPr id="100019" name="图片 100019" descr="@@@f983bff3-fc1c-457d-a3d1-b1aa0a0862f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@@@f983bff3-fc1c-457d-a3d1-b1aa0a0862f7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381125" cy="1666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AB40F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15．受气候影响，北京四合院（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5F63601F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①庭院封闭，挡风避寒②正房朝向北，采光较好</w:t>
      </w:r>
    </w:p>
    <w:p w14:paraId="6B56A05E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③竹制而成，通风纳凉④屋顶有坡度，利于排水</w:t>
      </w:r>
    </w:p>
    <w:p w14:paraId="6D33A1CE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A．①③</w:t>
      </w:r>
      <w:r>
        <w:rPr>
          <w:sz w:val="21"/>
        </w:rPr>
        <w:tab/>
      </w:r>
      <w:r>
        <w:rPr>
          <w:sz w:val="21"/>
        </w:rPr>
        <w:t>B．①④</w:t>
      </w:r>
      <w:r>
        <w:rPr>
          <w:sz w:val="21"/>
        </w:rPr>
        <w:tab/>
      </w:r>
      <w:r>
        <w:rPr>
          <w:sz w:val="21"/>
        </w:rPr>
        <w:t>C．②③</w:t>
      </w:r>
      <w:r>
        <w:rPr>
          <w:sz w:val="21"/>
        </w:rPr>
        <w:tab/>
      </w:r>
      <w:r>
        <w:rPr>
          <w:sz w:val="21"/>
        </w:rPr>
        <w:t>D．②④</w:t>
      </w:r>
    </w:p>
    <w:p w14:paraId="0C9E0B90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16．“云上中轴”助力文化遗产传播，主要得益于（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459EB256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A．旅游产业的繁荣</w:t>
      </w:r>
      <w:r>
        <w:rPr>
          <w:sz w:val="21"/>
        </w:rPr>
        <w:tab/>
      </w:r>
      <w:r>
        <w:rPr>
          <w:sz w:val="21"/>
        </w:rPr>
        <w:t>B．运输条件的改善</w:t>
      </w:r>
      <w:r>
        <w:rPr>
          <w:sz w:val="21"/>
        </w:rPr>
        <w:tab/>
      </w:r>
    </w:p>
    <w:p w14:paraId="1002ECF7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C．高新技术的发展</w:t>
      </w:r>
      <w:r>
        <w:rPr>
          <w:sz w:val="21"/>
        </w:rPr>
        <w:tab/>
      </w:r>
      <w:r>
        <w:rPr>
          <w:sz w:val="21"/>
        </w:rPr>
        <w:t>D．社会观念的转变</w:t>
      </w:r>
    </w:p>
    <w:p w14:paraId="4A1D4925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  <w:rPr>
          <w:sz w:val="21"/>
        </w:rPr>
      </w:pPr>
    </w:p>
    <w:p w14:paraId="210C4D24">
      <w:pPr>
        <w:shd w:val="clear" w:color="auto" w:fill="auto"/>
        <w:spacing w:line="360" w:lineRule="auto"/>
        <w:ind w:firstLine="560"/>
        <w:jc w:val="left"/>
        <w:textAlignment w:val="center"/>
        <w:rPr>
          <w:sz w:val="21"/>
        </w:rPr>
      </w:pPr>
      <w:r>
        <w:rPr>
          <w:rFonts w:ascii="楷体" w:hAnsi="楷体" w:eastAsia="楷体" w:cs="楷体"/>
          <w:sz w:val="21"/>
        </w:rPr>
        <w:t>作为黄河入鲁第一市，菏泽因黄河下游独特的地理环境，孕育了历史悠久的堌堆文化。堌堆是古代先民们为躲避洪水在平原上堆积的土丘，遍布菏泽大地。图</w:t>
      </w:r>
      <w:r>
        <w:rPr>
          <w:sz w:val="21"/>
        </w:rPr>
        <w:t>1</w:t>
      </w:r>
      <w:r>
        <w:rPr>
          <w:rFonts w:ascii="楷体" w:hAnsi="楷体" w:eastAsia="楷体" w:cs="楷体"/>
          <w:sz w:val="21"/>
        </w:rPr>
        <w:t>示意菏泽现有堌堆的空间分布（</w:t>
      </w:r>
      <w:r>
        <w:rPr>
          <w:sz w:val="21"/>
        </w:rPr>
        <w:t>2021</w:t>
      </w:r>
      <w:r>
        <w:rPr>
          <w:rFonts w:ascii="楷体" w:hAnsi="楷体" w:eastAsia="楷体" w:cs="楷体"/>
          <w:sz w:val="21"/>
        </w:rPr>
        <w:t>年），图</w:t>
      </w:r>
      <w:r>
        <w:rPr>
          <w:sz w:val="21"/>
        </w:rPr>
        <w:t>2</w:t>
      </w:r>
      <w:r>
        <w:rPr>
          <w:rFonts w:ascii="楷体" w:hAnsi="楷体" w:eastAsia="楷体" w:cs="楷体"/>
          <w:sz w:val="21"/>
        </w:rPr>
        <w:t>为菏泽堌堆景观图。据此完成下面小题。</w:t>
      </w:r>
    </w:p>
    <w:p w14:paraId="044FA65C">
      <w:pPr>
        <w:shd w:val="clear" w:color="auto" w:fill="auto"/>
        <w:spacing w:line="360" w:lineRule="auto"/>
        <w:jc w:val="center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3086100" cy="2466975"/>
            <wp:effectExtent l="0" t="0" r="0" b="9525"/>
            <wp:docPr id="100021" name="图片 100021" descr="@@@b7b2b92c-2a3e-43ef-b938-1c33f946beb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 descr="@@@b7b2b92c-2a3e-43ef-b938-1c33f946beb3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3086100" cy="2466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</w:t>
      </w: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800225" cy="1381125"/>
            <wp:effectExtent l="0" t="0" r="9525" b="9525"/>
            <wp:docPr id="100023" name="图片 100023" descr="@@@8a7a3a3d-2482-4802-ab32-1315d9f19da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 descr="@@@8a7a3a3d-2482-4802-ab32-1315d9f19daa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1800225" cy="1381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0E3374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17．堌堆分布区也是聚落密集区，该区域聚落密集的主要原因是（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224A3F8B">
      <w:pPr>
        <w:shd w:val="clear" w:color="auto" w:fill="auto"/>
        <w:tabs>
          <w:tab w:val="left" w:pos="4156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A．四季如春，适宜居住</w:t>
      </w:r>
      <w:r>
        <w:rPr>
          <w:sz w:val="21"/>
        </w:rPr>
        <w:tab/>
      </w:r>
      <w:r>
        <w:rPr>
          <w:sz w:val="21"/>
        </w:rPr>
        <w:t>B．土壤肥沃，便于农耕</w:t>
      </w:r>
    </w:p>
    <w:p w14:paraId="324ECADB">
      <w:pPr>
        <w:shd w:val="clear" w:color="auto" w:fill="auto"/>
        <w:tabs>
          <w:tab w:val="left" w:pos="4156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C．靠近河流，水运发达</w:t>
      </w:r>
      <w:r>
        <w:rPr>
          <w:sz w:val="21"/>
        </w:rPr>
        <w:tab/>
      </w:r>
      <w:r>
        <w:rPr>
          <w:sz w:val="21"/>
        </w:rPr>
        <w:t>D．矿产丰富，工业发达</w:t>
      </w:r>
    </w:p>
    <w:p w14:paraId="5BFCD098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18．古代先民们修建堌堆，说明黄河下游（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023CDF55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A．支流众多</w:t>
      </w:r>
      <w:r>
        <w:rPr>
          <w:sz w:val="21"/>
        </w:rPr>
        <w:tab/>
      </w:r>
      <w:r>
        <w:rPr>
          <w:sz w:val="21"/>
        </w:rPr>
        <w:t>B．流域面积广</w:t>
      </w:r>
      <w:r>
        <w:rPr>
          <w:sz w:val="21"/>
        </w:rPr>
        <w:tab/>
      </w:r>
      <w:r>
        <w:rPr>
          <w:sz w:val="21"/>
        </w:rPr>
        <w:t>C．水位变化大</w:t>
      </w:r>
      <w:r>
        <w:rPr>
          <w:sz w:val="21"/>
        </w:rPr>
        <w:tab/>
      </w:r>
      <w:r>
        <w:rPr>
          <w:sz w:val="21"/>
        </w:rPr>
        <w:t>D．结冰期长</w:t>
      </w:r>
    </w:p>
    <w:p w14:paraId="37F621F1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  <w:rPr>
          <w:sz w:val="21"/>
        </w:rPr>
      </w:pPr>
    </w:p>
    <w:p w14:paraId="6A6A1925">
      <w:pPr>
        <w:shd w:val="clear" w:color="auto" w:fill="auto"/>
        <w:spacing w:line="360" w:lineRule="auto"/>
        <w:ind w:firstLine="560"/>
        <w:jc w:val="left"/>
        <w:textAlignment w:val="center"/>
        <w:rPr>
          <w:sz w:val="21"/>
        </w:rPr>
      </w:pPr>
      <w:r>
        <w:rPr>
          <w:sz w:val="21"/>
        </w:rPr>
        <w:t>2025</w:t>
      </w:r>
      <w:r>
        <w:rPr>
          <w:rFonts w:ascii="楷体" w:hAnsi="楷体" w:eastAsia="楷体" w:cs="楷体"/>
          <w:sz w:val="21"/>
        </w:rPr>
        <w:t>年</w:t>
      </w:r>
      <w:r>
        <w:rPr>
          <w:sz w:val="21"/>
        </w:rPr>
        <w:t>5</w:t>
      </w:r>
      <w:r>
        <w:rPr>
          <w:rFonts w:ascii="楷体" w:hAnsi="楷体" w:eastAsia="楷体" w:cs="楷体"/>
          <w:sz w:val="21"/>
        </w:rPr>
        <w:t>月，新疆于田县的</w:t>
      </w:r>
      <w:r>
        <w:rPr>
          <w:sz w:val="21"/>
        </w:rPr>
        <w:t>10</w:t>
      </w:r>
      <w:r>
        <w:rPr>
          <w:rFonts w:ascii="楷体" w:hAnsi="楷体" w:eastAsia="楷体" w:cs="楷体"/>
          <w:sz w:val="21"/>
        </w:rPr>
        <w:t>万株沙漠玫瑰迎来第一波花期。这些玫瑰是当地村民在塔克拉玛干沙漠边缘绿色防护带锁边</w:t>
      </w:r>
      <w:r>
        <w:rPr>
          <w:sz w:val="21"/>
        </w:rPr>
        <w:t>“</w:t>
      </w:r>
      <w:r>
        <w:rPr>
          <w:rFonts w:ascii="楷体" w:hAnsi="楷体" w:eastAsia="楷体" w:cs="楷体"/>
          <w:sz w:val="21"/>
        </w:rPr>
        <w:t>合龙</w:t>
      </w:r>
      <w:r>
        <w:rPr>
          <w:sz w:val="21"/>
        </w:rPr>
        <w:t>”</w:t>
      </w:r>
      <w:r>
        <w:rPr>
          <w:rFonts w:ascii="楷体" w:hAnsi="楷体" w:eastAsia="楷体" w:cs="楷体"/>
          <w:sz w:val="21"/>
        </w:rPr>
        <w:t>时种下的。图</w:t>
      </w:r>
      <w:r>
        <w:rPr>
          <w:sz w:val="21"/>
        </w:rPr>
        <w:t>1</w:t>
      </w:r>
      <w:r>
        <w:rPr>
          <w:rFonts w:ascii="楷体" w:hAnsi="楷体" w:eastAsia="楷体" w:cs="楷体"/>
          <w:sz w:val="21"/>
        </w:rPr>
        <w:t>示意于田县及其周边区域，图</w:t>
      </w:r>
      <w:r>
        <w:rPr>
          <w:sz w:val="21"/>
        </w:rPr>
        <w:t>2</w:t>
      </w:r>
      <w:r>
        <w:rPr>
          <w:rFonts w:ascii="楷体" w:hAnsi="楷体" w:eastAsia="楷体" w:cs="楷体"/>
          <w:sz w:val="21"/>
        </w:rPr>
        <w:t>为沙漠玫瑰资料卡。据此完成下面小题。</w:t>
      </w:r>
    </w:p>
    <w:p w14:paraId="1A13DE80">
      <w:pPr>
        <w:shd w:val="clear" w:color="auto" w:fill="auto"/>
        <w:spacing w:line="360" w:lineRule="auto"/>
        <w:jc w:val="center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2886075" cy="2238375"/>
            <wp:effectExtent l="0" t="0" r="9525" b="9525"/>
            <wp:docPr id="100025" name="图片 100025" descr="@@@fd34663a-0e5f-4199-bbed-d85a97da15c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 descr="@@@fd34663a-0e5f-4199-bbed-d85a97da15cf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2886075" cy="2238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2257425" cy="1323975"/>
            <wp:effectExtent l="0" t="0" r="9525" b="9525"/>
            <wp:docPr id="100027" name="图片 100027" descr="@@@9a14c112-5e14-42b2-9cbe-480f5f819ae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图片 100027" descr="@@@9a14c112-5e14-42b2-9cbe-480f5f819ae0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2257425" cy="1323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A08274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19．于田县种植沙漠玫瑰的优势是（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7DD73510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①全年高温，热量丰富②光照充足，昼夜温差大</w:t>
      </w:r>
    </w:p>
    <w:p w14:paraId="5A466367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③黑土广布，土壤肥沃④高山冰雪融水提供水源</w:t>
      </w:r>
    </w:p>
    <w:p w14:paraId="2C62C1B1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A．①③</w:t>
      </w:r>
      <w:r>
        <w:rPr>
          <w:sz w:val="21"/>
        </w:rPr>
        <w:tab/>
      </w:r>
      <w:r>
        <w:rPr>
          <w:sz w:val="21"/>
        </w:rPr>
        <w:t>B．①④</w:t>
      </w:r>
      <w:r>
        <w:rPr>
          <w:sz w:val="21"/>
        </w:rPr>
        <w:tab/>
      </w:r>
      <w:r>
        <w:rPr>
          <w:sz w:val="21"/>
        </w:rPr>
        <w:t>C．②③</w:t>
      </w:r>
      <w:r>
        <w:rPr>
          <w:sz w:val="21"/>
        </w:rPr>
        <w:tab/>
      </w:r>
      <w:r>
        <w:rPr>
          <w:sz w:val="21"/>
        </w:rPr>
        <w:t>D．②④</w:t>
      </w:r>
    </w:p>
    <w:p w14:paraId="228C5FC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20．种植沙漠玫瑰，可以（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16265BAD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①遏制沙漠扩张，改善生态环境②发展玫瑰产业，带动当地经济发展</w:t>
      </w:r>
    </w:p>
    <w:p w14:paraId="7D3794B7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③提供就业机会，促进社会稳定④促进农业发展，保障国家粮食安全</w:t>
      </w:r>
    </w:p>
    <w:p w14:paraId="7815091A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A．①②③</w:t>
      </w:r>
      <w:r>
        <w:rPr>
          <w:sz w:val="21"/>
        </w:rPr>
        <w:tab/>
      </w:r>
      <w:r>
        <w:rPr>
          <w:sz w:val="21"/>
        </w:rPr>
        <w:t>B．②③④</w:t>
      </w:r>
      <w:r>
        <w:rPr>
          <w:sz w:val="21"/>
        </w:rPr>
        <w:tab/>
      </w:r>
      <w:r>
        <w:rPr>
          <w:sz w:val="21"/>
        </w:rPr>
        <w:t>C．①②④</w:t>
      </w:r>
      <w:r>
        <w:rPr>
          <w:sz w:val="21"/>
        </w:rPr>
        <w:tab/>
      </w:r>
      <w:r>
        <w:rPr>
          <w:sz w:val="21"/>
        </w:rPr>
        <w:t>D．①③④</w:t>
      </w:r>
    </w:p>
    <w:p w14:paraId="47963A8D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  <w:rPr>
          <w:sz w:val="21"/>
        </w:rPr>
      </w:pPr>
    </w:p>
    <w:p w14:paraId="2AC40A73">
      <w:pPr>
        <w:jc w:val="both"/>
        <w:textAlignment w:val="center"/>
        <w:rPr>
          <w:rFonts w:ascii="黑体" w:hAnsi="黑体" w:eastAsia="黑体" w:cs="黑体"/>
          <w:b/>
          <w:i w:val="0"/>
          <w:color w:val="000000"/>
          <w:sz w:val="30"/>
        </w:rPr>
      </w:pPr>
    </w:p>
    <w:p w14:paraId="48770236">
      <w:pPr>
        <w:jc w:val="left"/>
        <w:textAlignment w:val="center"/>
        <w:rPr>
          <w:rFonts w:ascii="宋体" w:hAnsi="宋体" w:eastAsia="宋体" w:cs="宋体"/>
          <w:b/>
          <w:i w:val="0"/>
          <w:color w:val="000000"/>
          <w:sz w:val="21"/>
        </w:rPr>
      </w:pPr>
      <w:r>
        <w:rPr>
          <w:rFonts w:ascii="宋体" w:hAnsi="宋体" w:eastAsia="宋体" w:cs="宋体"/>
          <w:b/>
          <w:i w:val="0"/>
          <w:color w:val="000000"/>
          <w:sz w:val="21"/>
        </w:rPr>
        <w:t>二、综合题</w:t>
      </w:r>
    </w:p>
    <w:p w14:paraId="7AC6FD65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21．贝贝一家计划在2025年7月出境旅行，初步选定非洲的坦桑尼亚和东南亚的马来西亚作为目的地。图1示意Deepseek推荐的旅行方案，图2示意坦桑尼亚地理位置及其气候资料，图3示意马来西亚地理位置及其气候资料。阅读图文材料，完成下列要求。</w:t>
      </w:r>
    </w:p>
    <w:p w14:paraId="6744ABC7">
      <w:pPr>
        <w:shd w:val="clear" w:color="auto" w:fill="auto"/>
        <w:spacing w:line="360" w:lineRule="auto"/>
        <w:jc w:val="center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4752975" cy="2657475"/>
            <wp:effectExtent l="0" t="0" r="9525" b="9525"/>
            <wp:docPr id="100029" name="图片 100029" descr="@@@eab6bd081dbd456eb7d6f3aaff370ff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图片 100029" descr="@@@eab6bd081dbd456eb7d6f3aaff370fff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4752975" cy="2657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B1309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【自然奇观探因】</w:t>
      </w:r>
    </w:p>
    <w:p w14:paraId="2102C1D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(1)若贝贝前往塞伦盖蒂国家公园，会看到草木枯黄，是因为当地属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</w:t>
      </w:r>
      <w:r>
        <w:rPr>
          <w:sz w:val="21"/>
        </w:rPr>
        <w:t>（气候类型），5-10月为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</w:t>
      </w:r>
      <w:r>
        <w:rPr>
          <w:sz w:val="21"/>
        </w:rPr>
        <w:t>（干季/湿季）。</w:t>
      </w:r>
    </w:p>
    <w:p w14:paraId="19DBC6EB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(2)贝贝想对乞力马扎罗山“赤道雪峰”景观进行求证，进而推断基纳巴卢山是否有相同景观。请帮他将下列结构图补充完整。</w:t>
      </w:r>
    </w:p>
    <w:p w14:paraId="48784169">
      <w:pPr>
        <w:shd w:val="clear" w:color="auto" w:fill="auto"/>
        <w:spacing w:line="360" w:lineRule="auto"/>
        <w:jc w:val="center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5276215" cy="1392555"/>
            <wp:effectExtent l="0" t="0" r="635" b="17145"/>
            <wp:docPr id="100031" name="图片 100031" descr="@@@7f6e3c4abeb2425a98c36752cc32d57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1" name="图片 100031" descr="@@@7f6e3c4abeb2425a98c36752cc32d57e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76800" cy="13928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33A4F7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①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</w:t>
      </w:r>
      <w:r>
        <w:rPr>
          <w:sz w:val="21"/>
        </w:rPr>
        <w:t>；②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</w:t>
      </w:r>
      <w:r>
        <w:rPr>
          <w:sz w:val="21"/>
        </w:rPr>
        <w:t>；③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</w:t>
      </w:r>
      <w:r>
        <w:rPr>
          <w:sz w:val="21"/>
        </w:rPr>
        <w:t>；</w:t>
      </w:r>
    </w:p>
    <w:p w14:paraId="7C1B6D34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【旅行方案决策】</w:t>
      </w:r>
    </w:p>
    <w:p w14:paraId="419F375B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(3)贝贝一家最终选择马来西亚作为此次旅行目的地，请从地理角度推测原因。</w:t>
      </w:r>
    </w:p>
    <w:p w14:paraId="240BEF95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【地理智慧锦囊】</w:t>
      </w:r>
    </w:p>
    <w:p w14:paraId="5ABE4FC5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(4)贝贝需要根据马来西亚的自然地理特征及旅行方案准备行李。请从衣物、药品、装备中任选其一为他提出建议。</w:t>
      </w:r>
    </w:p>
    <w:p w14:paraId="2AA5E4A8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22．甘肃省是黄河流域早期农业文明的重要发祥地之一，其农产品种类丰富。2025年4月9日，“甘味入鲁”产销对接活动在济南举办，天水辣椒、敦煌葡萄等多种特色农产品进入山东。鲁甘通过市场共拓、品牌共建、技术共享，为“鲁甘协作”注入新动能，助力乡村振兴。图示意甘肃省、山东省及其周边区域。阅读图文材料，完成下列要求。</w:t>
      </w:r>
    </w:p>
    <w:p w14:paraId="78E79643">
      <w:pPr>
        <w:shd w:val="clear" w:color="auto" w:fill="auto"/>
        <w:spacing w:line="360" w:lineRule="auto"/>
        <w:jc w:val="center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3362325" cy="1428750"/>
            <wp:effectExtent l="0" t="0" r="9525" b="0"/>
            <wp:docPr id="100033" name="图片 100033" descr="@@@61143a75-f11e-45bf-8e1d-e2dcbe40a0a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3" name="图片 100033" descr="@@@61143a75-f11e-45bf-8e1d-e2dcbe40a0a4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3362325" cy="1428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1B12E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(1)说出甘肃省和山东省纬度位置的差异。</w:t>
      </w:r>
    </w:p>
    <w:p w14:paraId="0FB0804D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(2)分析甘肃省农产品种类丰富的原因。</w:t>
      </w:r>
    </w:p>
    <w:p w14:paraId="526E745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(3)简述“鲁甘协作”对甘肃省农业发展的意义。</w:t>
      </w:r>
    </w:p>
    <w:p w14:paraId="68C102F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23．某中学地理学习小组以北美洲为例，开展“地形、气候、河流间相互影响”主题探究活动。图为北美洲简图，表为圣路易斯月平均气温和降水量。阅读图文材料，完成下列要求。</w:t>
      </w:r>
    </w:p>
    <w:p w14:paraId="43AF149D">
      <w:pPr>
        <w:shd w:val="clear" w:color="auto" w:fill="auto"/>
        <w:spacing w:line="360" w:lineRule="auto"/>
        <w:jc w:val="center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2295525" cy="2333625"/>
            <wp:effectExtent l="0" t="0" r="9525" b="9525"/>
            <wp:docPr id="100035" name="图片 100035" descr="@@@23733cdd-9cea-4f1a-a98f-9e9fa096fc5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5" name="图片 100035" descr="@@@23733cdd-9cea-4f1a-a98f-9e9fa096fc5b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2295525" cy="2333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550291">
      <w:pPr>
        <w:shd w:val="clear" w:color="auto" w:fill="auto"/>
        <w:spacing w:line="360" w:lineRule="auto"/>
        <w:ind w:firstLine="560"/>
        <w:jc w:val="left"/>
        <w:textAlignment w:val="center"/>
        <w:rPr>
          <w:sz w:val="21"/>
        </w:rPr>
      </w:pPr>
      <w:r>
        <w:rPr>
          <w:rFonts w:ascii="楷体" w:hAnsi="楷体" w:eastAsia="楷体" w:cs="楷体"/>
          <w:sz w:val="21"/>
        </w:rPr>
        <w:t>表：圣路易斯月平均气温和降水量</w:t>
      </w:r>
    </w:p>
    <w:tbl>
      <w:tblPr>
        <w:tblStyle w:val="4"/>
        <w:tblW w:w="8325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1460"/>
        <w:gridCol w:w="575"/>
        <w:gridCol w:w="505"/>
        <w:gridCol w:w="505"/>
        <w:gridCol w:w="610"/>
        <w:gridCol w:w="610"/>
        <w:gridCol w:w="610"/>
        <w:gridCol w:w="610"/>
        <w:gridCol w:w="610"/>
        <w:gridCol w:w="610"/>
        <w:gridCol w:w="610"/>
        <w:gridCol w:w="505"/>
        <w:gridCol w:w="505"/>
      </w:tblGrid>
      <w:tr w14:paraId="6AE452E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jc w:val="center"/>
        </w:trPr>
        <w:tc>
          <w:tcPr>
            <w:tcW w:w="145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EC875C7">
            <w:pPr>
              <w:shd w:val="clear" w:color="auto" w:fill="auto"/>
              <w:spacing w:line="360" w:lineRule="auto"/>
              <w:jc w:val="center"/>
              <w:textAlignment w:val="center"/>
              <w:rPr>
                <w:rFonts w:hint="eastAsia" w:ascii="黑体" w:hAnsi="黑体" w:eastAsia="黑体" w:cs="黑体"/>
                <w:sz w:val="21"/>
              </w:rPr>
            </w:pPr>
            <w:r>
              <w:rPr>
                <w:rFonts w:hint="eastAsia" w:ascii="黑体" w:hAnsi="黑体" w:eastAsia="黑体" w:cs="黑体"/>
                <w:sz w:val="21"/>
              </w:rPr>
              <w:t>月份</w:t>
            </w:r>
          </w:p>
        </w:tc>
        <w:tc>
          <w:tcPr>
            <w:tcW w:w="54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2A19EC7">
            <w:pPr>
              <w:shd w:val="clear" w:color="auto" w:fill="auto"/>
              <w:spacing w:line="360" w:lineRule="auto"/>
              <w:jc w:val="center"/>
              <w:textAlignment w:val="center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  <w:tc>
          <w:tcPr>
            <w:tcW w:w="49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5BB62E7">
            <w:pPr>
              <w:shd w:val="clear" w:color="auto" w:fill="auto"/>
              <w:spacing w:line="360" w:lineRule="auto"/>
              <w:jc w:val="center"/>
              <w:textAlignment w:val="center"/>
              <w:rPr>
                <w:sz w:val="21"/>
              </w:rPr>
            </w:pPr>
            <w:r>
              <w:rPr>
                <w:sz w:val="21"/>
              </w:rPr>
              <w:t>2</w:t>
            </w:r>
          </w:p>
        </w:tc>
        <w:tc>
          <w:tcPr>
            <w:tcW w:w="49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F7D2384">
            <w:pPr>
              <w:shd w:val="clear" w:color="auto" w:fill="auto"/>
              <w:spacing w:line="360" w:lineRule="auto"/>
              <w:jc w:val="center"/>
              <w:textAlignment w:val="center"/>
              <w:rPr>
                <w:sz w:val="21"/>
              </w:rPr>
            </w:pPr>
            <w:r>
              <w:rPr>
                <w:sz w:val="21"/>
              </w:rPr>
              <w:t>3</w:t>
            </w:r>
          </w:p>
        </w:tc>
        <w:tc>
          <w:tcPr>
            <w:tcW w:w="60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13FA7B1">
            <w:pPr>
              <w:shd w:val="clear" w:color="auto" w:fill="auto"/>
              <w:spacing w:line="360" w:lineRule="auto"/>
              <w:jc w:val="center"/>
              <w:textAlignment w:val="center"/>
              <w:rPr>
                <w:sz w:val="21"/>
              </w:rPr>
            </w:pPr>
            <w:r>
              <w:rPr>
                <w:sz w:val="21"/>
              </w:rPr>
              <w:t>4</w:t>
            </w:r>
          </w:p>
        </w:tc>
        <w:tc>
          <w:tcPr>
            <w:tcW w:w="60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EE3F4ED">
            <w:pPr>
              <w:shd w:val="clear" w:color="auto" w:fill="auto"/>
              <w:spacing w:line="360" w:lineRule="auto"/>
              <w:jc w:val="center"/>
              <w:textAlignment w:val="center"/>
              <w:rPr>
                <w:sz w:val="21"/>
              </w:rPr>
            </w:pPr>
            <w:r>
              <w:rPr>
                <w:sz w:val="21"/>
              </w:rPr>
              <w:t>5</w:t>
            </w:r>
          </w:p>
        </w:tc>
        <w:tc>
          <w:tcPr>
            <w:tcW w:w="60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D5F403E">
            <w:pPr>
              <w:shd w:val="clear" w:color="auto" w:fill="auto"/>
              <w:spacing w:line="360" w:lineRule="auto"/>
              <w:jc w:val="center"/>
              <w:textAlignment w:val="center"/>
              <w:rPr>
                <w:sz w:val="21"/>
              </w:rPr>
            </w:pPr>
            <w:r>
              <w:rPr>
                <w:sz w:val="21"/>
              </w:rPr>
              <w:t>6</w:t>
            </w:r>
          </w:p>
        </w:tc>
        <w:tc>
          <w:tcPr>
            <w:tcW w:w="60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9D734E0">
            <w:pPr>
              <w:shd w:val="clear" w:color="auto" w:fill="auto"/>
              <w:spacing w:line="360" w:lineRule="auto"/>
              <w:jc w:val="center"/>
              <w:textAlignment w:val="center"/>
              <w:rPr>
                <w:sz w:val="21"/>
              </w:rPr>
            </w:pPr>
            <w:r>
              <w:rPr>
                <w:sz w:val="21"/>
              </w:rPr>
              <w:t>7</w:t>
            </w:r>
          </w:p>
        </w:tc>
        <w:tc>
          <w:tcPr>
            <w:tcW w:w="60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AFF379F">
            <w:pPr>
              <w:shd w:val="clear" w:color="auto" w:fill="auto"/>
              <w:spacing w:line="360" w:lineRule="auto"/>
              <w:jc w:val="center"/>
              <w:textAlignment w:val="center"/>
              <w:rPr>
                <w:sz w:val="21"/>
              </w:rPr>
            </w:pPr>
            <w:r>
              <w:rPr>
                <w:sz w:val="21"/>
              </w:rPr>
              <w:t>8</w:t>
            </w:r>
          </w:p>
        </w:tc>
        <w:tc>
          <w:tcPr>
            <w:tcW w:w="60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7FEE45B">
            <w:pPr>
              <w:shd w:val="clear" w:color="auto" w:fill="auto"/>
              <w:spacing w:line="360" w:lineRule="auto"/>
              <w:jc w:val="center"/>
              <w:textAlignment w:val="center"/>
              <w:rPr>
                <w:sz w:val="21"/>
              </w:rPr>
            </w:pPr>
            <w:r>
              <w:rPr>
                <w:sz w:val="21"/>
              </w:rPr>
              <w:t>9</w:t>
            </w:r>
          </w:p>
        </w:tc>
        <w:tc>
          <w:tcPr>
            <w:tcW w:w="60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0C319B6">
            <w:pPr>
              <w:shd w:val="clear" w:color="auto" w:fill="auto"/>
              <w:spacing w:line="360" w:lineRule="auto"/>
              <w:jc w:val="center"/>
              <w:textAlignment w:val="center"/>
              <w:rPr>
                <w:sz w:val="21"/>
              </w:rPr>
            </w:pPr>
            <w:r>
              <w:rPr>
                <w:sz w:val="21"/>
              </w:rPr>
              <w:t>10</w:t>
            </w:r>
          </w:p>
        </w:tc>
        <w:tc>
          <w:tcPr>
            <w:tcW w:w="49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077EB39">
            <w:pPr>
              <w:shd w:val="clear" w:color="auto" w:fill="auto"/>
              <w:spacing w:line="360" w:lineRule="auto"/>
              <w:jc w:val="center"/>
              <w:textAlignment w:val="center"/>
              <w:rPr>
                <w:sz w:val="21"/>
              </w:rPr>
            </w:pPr>
            <w:r>
              <w:rPr>
                <w:sz w:val="21"/>
              </w:rPr>
              <w:t>11</w:t>
            </w:r>
          </w:p>
        </w:tc>
        <w:tc>
          <w:tcPr>
            <w:tcW w:w="49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937BB25">
            <w:pPr>
              <w:shd w:val="clear" w:color="auto" w:fill="auto"/>
              <w:spacing w:line="360" w:lineRule="auto"/>
              <w:jc w:val="center"/>
              <w:textAlignment w:val="center"/>
              <w:rPr>
                <w:sz w:val="21"/>
              </w:rPr>
            </w:pPr>
            <w:r>
              <w:rPr>
                <w:sz w:val="21"/>
              </w:rPr>
              <w:t>12</w:t>
            </w:r>
          </w:p>
        </w:tc>
      </w:tr>
      <w:tr w14:paraId="5D6F061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jc w:val="center"/>
        </w:trPr>
        <w:tc>
          <w:tcPr>
            <w:tcW w:w="145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3199AB3">
            <w:pPr>
              <w:shd w:val="clear" w:color="auto" w:fill="auto"/>
              <w:spacing w:line="360" w:lineRule="auto"/>
              <w:jc w:val="center"/>
              <w:textAlignment w:val="center"/>
              <w:rPr>
                <w:rFonts w:hint="eastAsia" w:ascii="黑体" w:hAnsi="黑体" w:eastAsia="黑体" w:cs="黑体"/>
                <w:sz w:val="21"/>
              </w:rPr>
            </w:pPr>
            <w:r>
              <w:rPr>
                <w:rFonts w:hint="eastAsia" w:ascii="黑体" w:hAnsi="黑体" w:eastAsia="黑体" w:cs="黑体"/>
                <w:sz w:val="21"/>
              </w:rPr>
              <w:t>气温（℃）</w:t>
            </w:r>
          </w:p>
        </w:tc>
        <w:tc>
          <w:tcPr>
            <w:tcW w:w="54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2D132BD">
            <w:pPr>
              <w:shd w:val="clear" w:color="auto" w:fill="auto"/>
              <w:spacing w:line="360" w:lineRule="auto"/>
              <w:jc w:val="center"/>
              <w:textAlignment w:val="center"/>
              <w:rPr>
                <w:sz w:val="21"/>
              </w:rPr>
            </w:pPr>
            <w:r>
              <w:rPr>
                <w:sz w:val="21"/>
              </w:rPr>
              <w:t>-0.8</w:t>
            </w:r>
          </w:p>
        </w:tc>
        <w:tc>
          <w:tcPr>
            <w:tcW w:w="49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8FCF97D">
            <w:pPr>
              <w:shd w:val="clear" w:color="auto" w:fill="auto"/>
              <w:spacing w:line="360" w:lineRule="auto"/>
              <w:jc w:val="center"/>
              <w:textAlignment w:val="center"/>
              <w:rPr>
                <w:sz w:val="21"/>
              </w:rPr>
            </w:pPr>
            <w:r>
              <w:rPr>
                <w:sz w:val="21"/>
              </w:rPr>
              <w:t>2.7</w:t>
            </w:r>
          </w:p>
        </w:tc>
        <w:tc>
          <w:tcPr>
            <w:tcW w:w="49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74FEA24">
            <w:pPr>
              <w:shd w:val="clear" w:color="auto" w:fill="auto"/>
              <w:spacing w:line="360" w:lineRule="auto"/>
              <w:jc w:val="center"/>
              <w:textAlignment w:val="center"/>
              <w:rPr>
                <w:sz w:val="21"/>
              </w:rPr>
            </w:pPr>
            <w:r>
              <w:rPr>
                <w:sz w:val="21"/>
              </w:rPr>
              <w:t>8.2</w:t>
            </w:r>
          </w:p>
        </w:tc>
        <w:tc>
          <w:tcPr>
            <w:tcW w:w="60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9230901">
            <w:pPr>
              <w:shd w:val="clear" w:color="auto" w:fill="auto"/>
              <w:spacing w:line="360" w:lineRule="auto"/>
              <w:jc w:val="center"/>
              <w:textAlignment w:val="center"/>
              <w:rPr>
                <w:sz w:val="21"/>
              </w:rPr>
            </w:pPr>
            <w:r>
              <w:rPr>
                <w:sz w:val="21"/>
              </w:rPr>
              <w:t>14.2</w:t>
            </w:r>
          </w:p>
        </w:tc>
        <w:tc>
          <w:tcPr>
            <w:tcW w:w="60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BEE4629">
            <w:pPr>
              <w:shd w:val="clear" w:color="auto" w:fill="auto"/>
              <w:spacing w:line="360" w:lineRule="auto"/>
              <w:jc w:val="center"/>
              <w:textAlignment w:val="center"/>
              <w:rPr>
                <w:sz w:val="21"/>
              </w:rPr>
            </w:pPr>
            <w:r>
              <w:rPr>
                <w:sz w:val="21"/>
              </w:rPr>
              <w:t>19.8</w:t>
            </w:r>
          </w:p>
        </w:tc>
        <w:tc>
          <w:tcPr>
            <w:tcW w:w="60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550BB42">
            <w:pPr>
              <w:shd w:val="clear" w:color="auto" w:fill="auto"/>
              <w:spacing w:line="360" w:lineRule="auto"/>
              <w:jc w:val="center"/>
              <w:textAlignment w:val="center"/>
              <w:rPr>
                <w:sz w:val="21"/>
              </w:rPr>
            </w:pPr>
            <w:r>
              <w:rPr>
                <w:sz w:val="21"/>
              </w:rPr>
              <w:t>24.8</w:t>
            </w:r>
          </w:p>
        </w:tc>
        <w:tc>
          <w:tcPr>
            <w:tcW w:w="60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E61F82B">
            <w:pPr>
              <w:shd w:val="clear" w:color="auto" w:fill="auto"/>
              <w:spacing w:line="360" w:lineRule="auto"/>
              <w:jc w:val="center"/>
              <w:textAlignment w:val="center"/>
              <w:rPr>
                <w:sz w:val="21"/>
              </w:rPr>
            </w:pPr>
            <w:r>
              <w:rPr>
                <w:sz w:val="21"/>
              </w:rPr>
              <w:t>26.9</w:t>
            </w:r>
          </w:p>
        </w:tc>
        <w:tc>
          <w:tcPr>
            <w:tcW w:w="60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504E3AB">
            <w:pPr>
              <w:shd w:val="clear" w:color="auto" w:fill="auto"/>
              <w:spacing w:line="360" w:lineRule="auto"/>
              <w:jc w:val="center"/>
              <w:textAlignment w:val="center"/>
              <w:rPr>
                <w:sz w:val="21"/>
              </w:rPr>
            </w:pPr>
            <w:r>
              <w:rPr>
                <w:sz w:val="21"/>
              </w:rPr>
              <w:t>26.0</w:t>
            </w:r>
          </w:p>
        </w:tc>
        <w:tc>
          <w:tcPr>
            <w:tcW w:w="60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F37183D">
            <w:pPr>
              <w:shd w:val="clear" w:color="auto" w:fill="auto"/>
              <w:spacing w:line="360" w:lineRule="auto"/>
              <w:jc w:val="center"/>
              <w:textAlignment w:val="center"/>
              <w:rPr>
                <w:sz w:val="21"/>
              </w:rPr>
            </w:pPr>
            <w:r>
              <w:rPr>
                <w:sz w:val="21"/>
              </w:rPr>
              <w:t>21.7</w:t>
            </w:r>
          </w:p>
        </w:tc>
        <w:tc>
          <w:tcPr>
            <w:tcW w:w="60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4BC3F07">
            <w:pPr>
              <w:shd w:val="clear" w:color="auto" w:fill="auto"/>
              <w:spacing w:line="360" w:lineRule="auto"/>
              <w:jc w:val="center"/>
              <w:textAlignment w:val="center"/>
              <w:rPr>
                <w:sz w:val="21"/>
              </w:rPr>
            </w:pPr>
            <w:r>
              <w:rPr>
                <w:sz w:val="21"/>
              </w:rPr>
              <w:t>15.1</w:t>
            </w:r>
          </w:p>
        </w:tc>
        <w:tc>
          <w:tcPr>
            <w:tcW w:w="49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9C14284">
            <w:pPr>
              <w:shd w:val="clear" w:color="auto" w:fill="auto"/>
              <w:spacing w:line="360" w:lineRule="auto"/>
              <w:jc w:val="center"/>
              <w:textAlignment w:val="center"/>
              <w:rPr>
                <w:sz w:val="21"/>
              </w:rPr>
            </w:pPr>
            <w:r>
              <w:rPr>
                <w:sz w:val="21"/>
              </w:rPr>
              <w:t>8.1</w:t>
            </w:r>
          </w:p>
        </w:tc>
        <w:tc>
          <w:tcPr>
            <w:tcW w:w="49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89168B5">
            <w:pPr>
              <w:shd w:val="clear" w:color="auto" w:fill="auto"/>
              <w:spacing w:line="360" w:lineRule="auto"/>
              <w:jc w:val="center"/>
              <w:textAlignment w:val="center"/>
              <w:rPr>
                <w:sz w:val="21"/>
              </w:rPr>
            </w:pPr>
            <w:r>
              <w:rPr>
                <w:sz w:val="21"/>
              </w:rPr>
              <w:t>2.5</w:t>
            </w:r>
          </w:p>
        </w:tc>
      </w:tr>
      <w:tr w14:paraId="6ED39BE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jc w:val="center"/>
        </w:trPr>
        <w:tc>
          <w:tcPr>
            <w:tcW w:w="145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566606D">
            <w:pPr>
              <w:shd w:val="clear" w:color="auto" w:fill="auto"/>
              <w:spacing w:line="360" w:lineRule="auto"/>
              <w:jc w:val="center"/>
              <w:textAlignment w:val="center"/>
              <w:rPr>
                <w:rFonts w:hint="eastAsia" w:ascii="黑体" w:hAnsi="黑体" w:eastAsia="黑体" w:cs="黑体"/>
                <w:sz w:val="21"/>
              </w:rPr>
            </w:pPr>
            <w:r>
              <w:rPr>
                <w:rFonts w:hint="eastAsia" w:ascii="黑体" w:hAnsi="黑体" w:eastAsia="黑体" w:cs="黑体"/>
                <w:sz w:val="21"/>
              </w:rPr>
              <w:t>降水量（毫米）</w:t>
            </w:r>
          </w:p>
        </w:tc>
        <w:tc>
          <w:tcPr>
            <w:tcW w:w="54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802320D">
            <w:pPr>
              <w:shd w:val="clear" w:color="auto" w:fill="auto"/>
              <w:spacing w:line="360" w:lineRule="auto"/>
              <w:jc w:val="center"/>
              <w:textAlignment w:val="center"/>
              <w:rPr>
                <w:sz w:val="21"/>
              </w:rPr>
            </w:pPr>
            <w:r>
              <w:rPr>
                <w:sz w:val="21"/>
              </w:rPr>
              <w:t>50</w:t>
            </w:r>
          </w:p>
        </w:tc>
        <w:tc>
          <w:tcPr>
            <w:tcW w:w="49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DAC8793">
            <w:pPr>
              <w:shd w:val="clear" w:color="auto" w:fill="auto"/>
              <w:spacing w:line="360" w:lineRule="auto"/>
              <w:jc w:val="center"/>
              <w:textAlignment w:val="center"/>
              <w:rPr>
                <w:sz w:val="21"/>
              </w:rPr>
            </w:pPr>
            <w:r>
              <w:rPr>
                <w:sz w:val="21"/>
              </w:rPr>
              <w:t>56</w:t>
            </w:r>
          </w:p>
        </w:tc>
        <w:tc>
          <w:tcPr>
            <w:tcW w:w="49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A90EA37">
            <w:pPr>
              <w:shd w:val="clear" w:color="auto" w:fill="auto"/>
              <w:spacing w:line="360" w:lineRule="auto"/>
              <w:jc w:val="center"/>
              <w:textAlignment w:val="center"/>
              <w:rPr>
                <w:sz w:val="21"/>
              </w:rPr>
            </w:pPr>
            <w:r>
              <w:rPr>
                <w:sz w:val="21"/>
              </w:rPr>
              <w:t>84</w:t>
            </w:r>
          </w:p>
        </w:tc>
        <w:tc>
          <w:tcPr>
            <w:tcW w:w="60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4CB44B9">
            <w:pPr>
              <w:shd w:val="clear" w:color="auto" w:fill="auto"/>
              <w:spacing w:line="360" w:lineRule="auto"/>
              <w:jc w:val="center"/>
              <w:textAlignment w:val="center"/>
              <w:rPr>
                <w:sz w:val="21"/>
              </w:rPr>
            </w:pPr>
            <w:r>
              <w:rPr>
                <w:sz w:val="21"/>
              </w:rPr>
              <w:t>102</w:t>
            </w:r>
          </w:p>
        </w:tc>
        <w:tc>
          <w:tcPr>
            <w:tcW w:w="60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0764D67">
            <w:pPr>
              <w:shd w:val="clear" w:color="auto" w:fill="auto"/>
              <w:spacing w:line="360" w:lineRule="auto"/>
              <w:jc w:val="center"/>
              <w:textAlignment w:val="center"/>
              <w:rPr>
                <w:sz w:val="21"/>
              </w:rPr>
            </w:pPr>
            <w:r>
              <w:rPr>
                <w:sz w:val="21"/>
              </w:rPr>
              <w:t>114</w:t>
            </w:r>
          </w:p>
        </w:tc>
        <w:tc>
          <w:tcPr>
            <w:tcW w:w="60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DD78EA8">
            <w:pPr>
              <w:shd w:val="clear" w:color="auto" w:fill="auto"/>
              <w:spacing w:line="360" w:lineRule="auto"/>
              <w:jc w:val="center"/>
              <w:textAlignment w:val="center"/>
              <w:rPr>
                <w:sz w:val="21"/>
              </w:rPr>
            </w:pPr>
            <w:r>
              <w:rPr>
                <w:sz w:val="21"/>
              </w:rPr>
              <w:t>136</w:t>
            </w:r>
          </w:p>
        </w:tc>
        <w:tc>
          <w:tcPr>
            <w:tcW w:w="60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FE814DD">
            <w:pPr>
              <w:shd w:val="clear" w:color="auto" w:fill="auto"/>
              <w:spacing w:line="360" w:lineRule="auto"/>
              <w:jc w:val="center"/>
              <w:textAlignment w:val="center"/>
              <w:rPr>
                <w:sz w:val="21"/>
              </w:rPr>
            </w:pPr>
            <w:r>
              <w:rPr>
                <w:sz w:val="21"/>
              </w:rPr>
              <w:t>127</w:t>
            </w:r>
          </w:p>
        </w:tc>
        <w:tc>
          <w:tcPr>
            <w:tcW w:w="60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13D5DC2">
            <w:pPr>
              <w:shd w:val="clear" w:color="auto" w:fill="auto"/>
              <w:spacing w:line="360" w:lineRule="auto"/>
              <w:jc w:val="center"/>
              <w:textAlignment w:val="center"/>
              <w:rPr>
                <w:sz w:val="21"/>
              </w:rPr>
            </w:pPr>
            <w:r>
              <w:rPr>
                <w:sz w:val="21"/>
              </w:rPr>
              <w:t>107</w:t>
            </w:r>
          </w:p>
        </w:tc>
        <w:tc>
          <w:tcPr>
            <w:tcW w:w="60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0FBBC91">
            <w:pPr>
              <w:shd w:val="clear" w:color="auto" w:fill="auto"/>
              <w:spacing w:line="360" w:lineRule="auto"/>
              <w:jc w:val="center"/>
              <w:textAlignment w:val="center"/>
              <w:rPr>
                <w:sz w:val="21"/>
              </w:rPr>
            </w:pPr>
            <w:r>
              <w:rPr>
                <w:sz w:val="21"/>
              </w:rPr>
              <w:t>89</w:t>
            </w:r>
          </w:p>
        </w:tc>
        <w:tc>
          <w:tcPr>
            <w:tcW w:w="60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8FC3BA0">
            <w:pPr>
              <w:shd w:val="clear" w:color="auto" w:fill="auto"/>
              <w:spacing w:line="360" w:lineRule="auto"/>
              <w:jc w:val="center"/>
              <w:textAlignment w:val="center"/>
              <w:rPr>
                <w:sz w:val="21"/>
              </w:rPr>
            </w:pPr>
            <w:r>
              <w:rPr>
                <w:sz w:val="21"/>
              </w:rPr>
              <w:t>84</w:t>
            </w:r>
          </w:p>
        </w:tc>
        <w:tc>
          <w:tcPr>
            <w:tcW w:w="49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2B0E3E5">
            <w:pPr>
              <w:shd w:val="clear" w:color="auto" w:fill="auto"/>
              <w:spacing w:line="360" w:lineRule="auto"/>
              <w:jc w:val="center"/>
              <w:textAlignment w:val="center"/>
              <w:rPr>
                <w:sz w:val="21"/>
              </w:rPr>
            </w:pPr>
            <w:r>
              <w:rPr>
                <w:sz w:val="21"/>
              </w:rPr>
              <w:t>71</w:t>
            </w:r>
          </w:p>
        </w:tc>
        <w:tc>
          <w:tcPr>
            <w:tcW w:w="49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497A57A">
            <w:pPr>
              <w:shd w:val="clear" w:color="auto" w:fill="auto"/>
              <w:spacing w:line="360" w:lineRule="auto"/>
              <w:jc w:val="center"/>
              <w:textAlignment w:val="center"/>
              <w:rPr>
                <w:sz w:val="21"/>
              </w:rPr>
            </w:pPr>
            <w:r>
              <w:rPr>
                <w:sz w:val="21"/>
              </w:rPr>
              <w:t>56</w:t>
            </w:r>
          </w:p>
        </w:tc>
      </w:tr>
    </w:tbl>
    <w:p w14:paraId="1FB1E2A8">
      <w:pPr>
        <w:shd w:val="clear" w:color="auto" w:fill="auto"/>
        <w:spacing w:line="360" w:lineRule="auto"/>
        <w:ind w:firstLine="560"/>
        <w:jc w:val="left"/>
        <w:textAlignment w:val="center"/>
        <w:rPr>
          <w:sz w:val="21"/>
        </w:rPr>
      </w:pPr>
      <w:r>
        <w:rPr>
          <w:rFonts w:ascii="楷体" w:hAnsi="楷体" w:eastAsia="楷体" w:cs="楷体"/>
          <w:sz w:val="21"/>
        </w:rPr>
        <w:t>探究一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</w:t>
      </w:r>
      <w:r>
        <w:rPr>
          <w:rFonts w:ascii="楷体" w:hAnsi="楷体" w:eastAsia="楷体" w:cs="楷体"/>
          <w:sz w:val="21"/>
        </w:rPr>
        <w:t>地形与气候</w:t>
      </w:r>
    </w:p>
    <w:p w14:paraId="53CDC3F7">
      <w:pPr>
        <w:shd w:val="clear" w:color="auto" w:fill="auto"/>
        <w:spacing w:line="360" w:lineRule="auto"/>
        <w:ind w:firstLine="560"/>
        <w:jc w:val="left"/>
        <w:textAlignment w:val="center"/>
        <w:rPr>
          <w:sz w:val="21"/>
        </w:rPr>
      </w:pPr>
      <w:r>
        <w:rPr>
          <w:rFonts w:ascii="楷体" w:hAnsi="楷体" w:eastAsia="楷体" w:cs="楷体"/>
          <w:sz w:val="21"/>
        </w:rPr>
        <w:t>北美洲中部以温带大陆性气候为主，其显著特征是冬冷夏热，气温年较差大。</w:t>
      </w:r>
    </w:p>
    <w:p w14:paraId="4AC5198A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(1)从地形角度分析北美洲中部气温年较差大的原因。</w:t>
      </w:r>
    </w:p>
    <w:p w14:paraId="3C67D271">
      <w:pPr>
        <w:shd w:val="clear" w:color="auto" w:fill="auto"/>
        <w:spacing w:line="360" w:lineRule="auto"/>
        <w:ind w:firstLine="560"/>
        <w:jc w:val="left"/>
        <w:textAlignment w:val="center"/>
        <w:rPr>
          <w:sz w:val="21"/>
        </w:rPr>
      </w:pPr>
      <w:r>
        <w:rPr>
          <w:rFonts w:ascii="楷体" w:hAnsi="楷体" w:eastAsia="楷体" w:cs="楷体"/>
          <w:sz w:val="21"/>
        </w:rPr>
        <w:t>探究二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</w:t>
      </w:r>
      <w:r>
        <w:rPr>
          <w:rFonts w:ascii="楷体" w:hAnsi="楷体" w:eastAsia="楷体" w:cs="楷体"/>
          <w:sz w:val="21"/>
        </w:rPr>
        <w:t>地形、气候与河流</w:t>
      </w:r>
    </w:p>
    <w:p w14:paraId="0E4C540E">
      <w:pPr>
        <w:shd w:val="clear" w:color="auto" w:fill="auto"/>
        <w:spacing w:line="360" w:lineRule="auto"/>
        <w:ind w:firstLine="560"/>
        <w:jc w:val="left"/>
        <w:textAlignment w:val="center"/>
        <w:rPr>
          <w:sz w:val="21"/>
        </w:rPr>
      </w:pPr>
      <w:r>
        <w:rPr>
          <w:rFonts w:ascii="楷体" w:hAnsi="楷体" w:eastAsia="楷体" w:cs="楷体"/>
          <w:sz w:val="21"/>
        </w:rPr>
        <w:t>密西西比河流经北美洲中部，是北美洲流程最长的河流。其航运价值大，沿岸城市圣路易斯是著名的内河航运中心。</w:t>
      </w:r>
    </w:p>
    <w:p w14:paraId="4DA6FEDE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(2)描述北美洲中部的地势特征，并说出判断依据。</w:t>
      </w:r>
    </w:p>
    <w:p w14:paraId="26D0EEC0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(3)说明密西西比河航运价值大的自然条件。</w:t>
      </w:r>
    </w:p>
    <w:p w14:paraId="4A2B3555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24．珠江三角洲区域是中国参与经济全球化的主体区域。图1示意珠江三角洲区域局部，图2示意珠江三角洲区域的产业升级，图3示意珠江三角洲区域的出口额变化。阅读图文材料，完成下列要求。</w:t>
      </w:r>
    </w:p>
    <w:p w14:paraId="0438575A">
      <w:pPr>
        <w:shd w:val="clear" w:color="auto" w:fill="auto"/>
        <w:spacing w:line="360" w:lineRule="auto"/>
        <w:jc w:val="center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2628900" cy="1933575"/>
            <wp:effectExtent l="0" t="0" r="0" b="9525"/>
            <wp:docPr id="100037" name="图片 100037" descr="@@@3008418d-37ee-44c7-b483-7c451113704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7" name="图片 100037" descr="@@@3008418d-37ee-44c7-b483-7c451113704e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2628900" cy="1933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</w:t>
      </w: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2324100" cy="2495550"/>
            <wp:effectExtent l="0" t="0" r="0" b="0"/>
            <wp:docPr id="100039" name="图片 100039" descr="@@@0aa7ca04-b6b1-4c4b-8977-2098115f07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9" name="图片 100039" descr="@@@0aa7ca04-b6b1-4c4b-8977-2098115f0792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2324100" cy="2495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346E6C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(1)从地理位置角度说出珠江三角洲区域发展外向型经济的优势条件。</w:t>
      </w:r>
    </w:p>
    <w:p w14:paraId="0822991B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(2)据图2和图3，说出珠江三角洲区域外向型经济发展的特点。</w:t>
      </w:r>
    </w:p>
    <w:p w14:paraId="323055DE">
      <w:pPr>
        <w:shd w:val="clear" w:color="auto" w:fill="auto"/>
        <w:spacing w:line="360" w:lineRule="auto"/>
        <w:ind w:firstLine="560"/>
        <w:jc w:val="left"/>
        <w:textAlignment w:val="center"/>
        <w:rPr>
          <w:sz w:val="21"/>
        </w:rPr>
      </w:pPr>
      <w:r>
        <w:rPr>
          <w:rFonts w:ascii="楷体" w:hAnsi="楷体" w:eastAsia="楷体" w:cs="楷体"/>
          <w:sz w:val="21"/>
        </w:rPr>
        <w:t>我国</w:t>
      </w:r>
      <w:r>
        <w:rPr>
          <w:sz w:val="21"/>
        </w:rPr>
        <w:t>B</w:t>
      </w:r>
      <w:r>
        <w:rPr>
          <w:rFonts w:ascii="楷体" w:hAnsi="楷体" w:eastAsia="楷体" w:cs="楷体"/>
          <w:sz w:val="21"/>
        </w:rPr>
        <w:t>新能源汽车公司在珠江三角洲区域构建了</w:t>
      </w:r>
      <w:r>
        <w:rPr>
          <w:sz w:val="21"/>
        </w:rPr>
        <w:t>“</w:t>
      </w:r>
      <w:r>
        <w:rPr>
          <w:rFonts w:ascii="楷体" w:hAnsi="楷体" w:eastAsia="楷体" w:cs="楷体"/>
          <w:sz w:val="21"/>
        </w:rPr>
        <w:t>研发—生产—出口</w:t>
      </w:r>
      <w:r>
        <w:rPr>
          <w:sz w:val="21"/>
        </w:rPr>
        <w:t>”</w:t>
      </w:r>
      <w:r>
        <w:rPr>
          <w:rFonts w:ascii="楷体" w:hAnsi="楷体" w:eastAsia="楷体" w:cs="楷体"/>
          <w:sz w:val="21"/>
        </w:rPr>
        <w:t>一体化产业链。深圳总部专注汽车研发；中山零部件厂通过深中通道实现与深圳的</w:t>
      </w:r>
      <w:r>
        <w:rPr>
          <w:sz w:val="21"/>
        </w:rPr>
        <w:t>“</w:t>
      </w:r>
      <w:r>
        <w:rPr>
          <w:rFonts w:ascii="楷体" w:hAnsi="楷体" w:eastAsia="楷体" w:cs="楷体"/>
          <w:sz w:val="21"/>
        </w:rPr>
        <w:t>半小时物流图</w:t>
      </w:r>
      <w:r>
        <w:rPr>
          <w:sz w:val="21"/>
        </w:rPr>
        <w:t>”</w:t>
      </w:r>
      <w:r>
        <w:rPr>
          <w:rFonts w:ascii="楷体" w:hAnsi="楷体" w:eastAsia="楷体" w:cs="楷体"/>
          <w:sz w:val="21"/>
        </w:rPr>
        <w:t>；惠州基地生产电池，并出口至欧洲、东南亚等地。</w:t>
      </w:r>
    </w:p>
    <w:p w14:paraId="328851F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(3)以B新能源汽车公司发展为例，简述深中通道对珠江三角洲区域发展的意义。</w:t>
      </w:r>
    </w:p>
    <w:p w14:paraId="4C8B74FD">
      <w:pPr>
        <w:shd w:val="clear" w:color="auto" w:fill="auto"/>
        <w:spacing w:line="360" w:lineRule="auto"/>
        <w:ind w:firstLine="560"/>
        <w:jc w:val="left"/>
        <w:textAlignment w:val="center"/>
        <w:rPr>
          <w:sz w:val="21"/>
        </w:rPr>
      </w:pPr>
      <w:r>
        <w:rPr>
          <w:rFonts w:ascii="楷体" w:hAnsi="楷体" w:eastAsia="楷体" w:cs="楷体"/>
          <w:sz w:val="21"/>
        </w:rPr>
        <w:t>新质生产力是指用新技术改造提升传统产业，积极促进产业高端化、智能化、绿色化。我国</w:t>
      </w:r>
      <w:r>
        <w:rPr>
          <w:sz w:val="21"/>
        </w:rPr>
        <w:t>B</w:t>
      </w:r>
      <w:r>
        <w:rPr>
          <w:rFonts w:ascii="楷体" w:hAnsi="楷体" w:eastAsia="楷体" w:cs="楷体"/>
          <w:sz w:val="21"/>
        </w:rPr>
        <w:t>新能源汽车公司</w:t>
      </w:r>
      <w:r>
        <w:rPr>
          <w:sz w:val="21"/>
        </w:rPr>
        <w:t>2024</w:t>
      </w:r>
      <w:r>
        <w:rPr>
          <w:rFonts w:ascii="楷体" w:hAnsi="楷体" w:eastAsia="楷体" w:cs="楷体"/>
          <w:sz w:val="21"/>
        </w:rPr>
        <w:t>年研发投入同比增长</w:t>
      </w:r>
      <w:r>
        <w:rPr>
          <w:sz w:val="21"/>
        </w:rPr>
        <w:t>37%</w:t>
      </w:r>
      <w:r>
        <w:rPr>
          <w:rFonts w:ascii="楷体" w:hAnsi="楷体" w:eastAsia="楷体" w:cs="楷体"/>
          <w:sz w:val="21"/>
        </w:rPr>
        <w:t>，研发方向主要集中在电池技术、电动平台和智能驾驶三大领域，</w:t>
      </w:r>
      <w:r>
        <w:rPr>
          <w:sz w:val="21"/>
        </w:rPr>
        <w:t>2025</w:t>
      </w:r>
      <w:r>
        <w:rPr>
          <w:rFonts w:ascii="楷体" w:hAnsi="楷体" w:eastAsia="楷体" w:cs="楷体"/>
          <w:sz w:val="21"/>
        </w:rPr>
        <w:t>年</w:t>
      </w:r>
      <w:r>
        <w:rPr>
          <w:sz w:val="21"/>
        </w:rPr>
        <w:t>3</w:t>
      </w:r>
      <w:r>
        <w:rPr>
          <w:rFonts w:ascii="楷体" w:hAnsi="楷体" w:eastAsia="楷体" w:cs="楷体"/>
          <w:sz w:val="21"/>
        </w:rPr>
        <w:t>月，</w:t>
      </w:r>
      <w:r>
        <w:rPr>
          <w:sz w:val="21"/>
        </w:rPr>
        <w:t>B</w:t>
      </w:r>
      <w:r>
        <w:rPr>
          <w:rFonts w:ascii="楷体" w:hAnsi="楷体" w:eastAsia="楷体" w:cs="楷体"/>
          <w:sz w:val="21"/>
        </w:rPr>
        <w:t>新能源汽车公司与汕尾市人民政府签署共建绿色制造产业园协议，绿电使用率将达</w:t>
      </w:r>
      <w:r>
        <w:rPr>
          <w:sz w:val="21"/>
        </w:rPr>
        <w:t>100%</w:t>
      </w:r>
      <w:r>
        <w:rPr>
          <w:rFonts w:ascii="楷体" w:hAnsi="楷体" w:eastAsia="楷体" w:cs="楷体"/>
          <w:sz w:val="21"/>
        </w:rPr>
        <w:t>，从而带动当地形成先进的制造业集群。</w:t>
      </w:r>
    </w:p>
    <w:p w14:paraId="1E8A88B8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(4)归纳B新能源汽车公司为实现新质生产力赋能制造业采取的措施。</w:t>
      </w:r>
      <w:bookmarkStart w:id="0" w:name="_GoBack"/>
      <w:bookmarkEnd w:id="0"/>
    </w:p>
    <w:sectPr>
      <w:headerReference r:id="rId3" w:type="default"/>
      <w:footerReference r:id="rId5" w:type="default"/>
      <w:headerReference r:id="rId4" w:type="even"/>
      <w:footerReference r:id="rId6" w:type="even"/>
      <w:pgSz w:w="11907" w:h="16839"/>
      <w:pgMar w:top="1440" w:right="1800" w:bottom="1440" w:left="1800" w:header="851" w:footer="425" w:gutter="0"/>
      <w:pgNumType w:start="1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DC2A07F">
    <w:pPr>
      <w:jc w:val="center"/>
    </w:pPr>
    <w:r>
      <w:rPr>
        <w:rFonts w:hint="eastAsia"/>
      </w:rPr>
      <w:t>答案第</w:t>
    </w:r>
    <w:r>
      <w:fldChar w:fldCharType="begin"/>
    </w:r>
    <w:r>
      <w:instrText xml:space="preserve"> =</w:instrText>
    </w:r>
    <w:r>
      <w:fldChar w:fldCharType="begin"/>
    </w:r>
    <w:r>
      <w:instrText xml:space="preserve"> page </w:instrText>
    </w:r>
    <w:r>
      <w:fldChar w:fldCharType="separate"/>
    </w:r>
    <w:r>
      <w:instrText xml:space="preserve">1</w:instrText>
    </w:r>
    <w:r>
      <w:fldChar w:fldCharType="end"/>
    </w:r>
    <w:r>
      <w:instrText xml:space="preserve"> </w:instrText>
    </w:r>
    <w:r>
      <w:fldChar w:fldCharType="separate"/>
    </w:r>
    <w:r>
      <w:t>1</w:t>
    </w:r>
    <w:r>
      <w:fldChar w:fldCharType="end"/>
    </w:r>
    <w:r>
      <w:rPr>
        <w:rFonts w:hint="eastAsia"/>
      </w:rPr>
      <w:t>页，共</w:t>
    </w:r>
    <w:r>
      <w:fldChar w:fldCharType="begin"/>
    </w:r>
    <w:r>
      <w:instrText xml:space="preserve"> </w:instrText>
    </w:r>
    <w:r>
      <w:rPr>
        <w:rFonts w:hint="eastAsia"/>
      </w:rPr>
      <w:instrText xml:space="preserve">=</w:instrText>
    </w:r>
    <w:r>
      <w:fldChar w:fldCharType="begin"/>
    </w:r>
    <w:r>
      <w:instrText xml:space="preserve"> sectionpages </w:instrText>
    </w:r>
    <w:r>
      <w:fldChar w:fldCharType="separate"/>
    </w:r>
    <w:r>
      <w:instrText xml:space="preserve">2</w:instrText>
    </w:r>
    <w:r>
      <w:fldChar w:fldCharType="end"/>
    </w:r>
    <w:r>
      <w:instrText xml:space="preserve"> </w:instrText>
    </w:r>
    <w:r>
      <w:fldChar w:fldCharType="separate"/>
    </w:r>
    <w:r>
      <w:t>2</w:t>
    </w:r>
    <w:r>
      <w:fldChar w:fldCharType="end"/>
    </w:r>
    <w:r>
      <w:rPr>
        <w:rFonts w:hint="eastAsia"/>
      </w:rPr>
      <w:t>页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78D4E58">
    <w:pPr>
      <w:jc w:val="center"/>
    </w:pPr>
    <w:r>
      <w:rPr>
        <w:rFonts w:hint="eastAsia"/>
      </w:rPr>
      <w:t>答案第</w:t>
    </w:r>
    <w:r>
      <w:fldChar w:fldCharType="begin"/>
    </w:r>
    <w:r>
      <w:instrText xml:space="preserve"> =</w:instrText>
    </w:r>
    <w:r>
      <w:fldChar w:fldCharType="begin"/>
    </w:r>
    <w:r>
      <w:instrText xml:space="preserve"> page </w:instrText>
    </w:r>
    <w:r>
      <w:fldChar w:fldCharType="separate"/>
    </w:r>
    <w:r>
      <w:instrText xml:space="preserve">1</w:instrText>
    </w:r>
    <w:r>
      <w:fldChar w:fldCharType="end"/>
    </w:r>
    <w:r>
      <w:instrText xml:space="preserve"> </w:instrText>
    </w:r>
    <w:r>
      <w:fldChar w:fldCharType="separate"/>
    </w:r>
    <w:r>
      <w:t>1</w:t>
    </w:r>
    <w:r>
      <w:fldChar w:fldCharType="end"/>
    </w:r>
    <w:r>
      <w:rPr>
        <w:rFonts w:hint="eastAsia"/>
      </w:rPr>
      <w:t>页，共</w:t>
    </w:r>
    <w:r>
      <w:fldChar w:fldCharType="begin"/>
    </w:r>
    <w:r>
      <w:instrText xml:space="preserve"> </w:instrText>
    </w:r>
    <w:r>
      <w:rPr>
        <w:rFonts w:hint="eastAsia"/>
      </w:rPr>
      <w:instrText xml:space="preserve">=</w:instrText>
    </w:r>
    <w:r>
      <w:fldChar w:fldCharType="begin"/>
    </w:r>
    <w:r>
      <w:instrText xml:space="preserve"> sectionpages </w:instrText>
    </w:r>
    <w:r>
      <w:fldChar w:fldCharType="separate"/>
    </w:r>
    <w:r>
      <w:instrText xml:space="preserve">2</w:instrText>
    </w:r>
    <w:r>
      <w:fldChar w:fldCharType="end"/>
    </w:r>
    <w:r>
      <w:instrText xml:space="preserve"> </w:instrText>
    </w:r>
    <w:r>
      <w:fldChar w:fldCharType="separate"/>
    </w:r>
    <w:r>
      <w:t>2</w:t>
    </w:r>
    <w:r>
      <w:fldChar w:fldCharType="end"/>
    </w:r>
    <w:r>
      <w:rPr>
        <w:rFonts w:hint="eastAsia"/>
      </w:rPr>
      <w:t>页</w: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A8B8944"/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C25DDE3"/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mirrorMargins w:val="1"/>
  <w:bordersDoNotSurroundHeader w:val="1"/>
  <w:bordersDoNotSurroundFooter w:val="1"/>
  <w:documentProtection w:enforcement="0"/>
  <w:defaultTabStop w:val="420"/>
  <w:evenAndOddHeaders w:val="1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806B0"/>
    <w:rsid w:val="000232A6"/>
    <w:rsid w:val="00043B54"/>
    <w:rsid w:val="00065CD2"/>
    <w:rsid w:val="001D7A06"/>
    <w:rsid w:val="00284433"/>
    <w:rsid w:val="002A1EC6"/>
    <w:rsid w:val="002E035E"/>
    <w:rsid w:val="003F38F2"/>
    <w:rsid w:val="004E46D8"/>
    <w:rsid w:val="00537201"/>
    <w:rsid w:val="0064153B"/>
    <w:rsid w:val="006A4C40"/>
    <w:rsid w:val="006B16C5"/>
    <w:rsid w:val="00776133"/>
    <w:rsid w:val="00811C76"/>
    <w:rsid w:val="00855687"/>
    <w:rsid w:val="008C07DE"/>
    <w:rsid w:val="009E611B"/>
    <w:rsid w:val="00A30CCE"/>
    <w:rsid w:val="00AC3E9C"/>
    <w:rsid w:val="00BC2225"/>
    <w:rsid w:val="00BC4F14"/>
    <w:rsid w:val="00BC62FB"/>
    <w:rsid w:val="00BF535F"/>
    <w:rsid w:val="00C806B0"/>
    <w:rsid w:val="00E476EE"/>
    <w:rsid w:val="00EF035E"/>
    <w:rsid w:val="00F16B29"/>
    <w:rsid w:val="00FA429B"/>
    <w:rsid w:val="09A40EC8"/>
    <w:rsid w:val="732727E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iPriority="39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character" w:default="1" w:styleId="5">
    <w:name w:val="Default Paragraph Font"/>
    <w:semiHidden/>
    <w:unhideWhenUsed/>
    <w:uiPriority w:val="1"/>
  </w:style>
  <w:style w:type="table" w:default="1" w:styleId="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link w:val="7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3">
    <w:name w:val="header"/>
    <w:basedOn w:val="1"/>
    <w:link w:val="6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6">
    <w:name w:val="页眉 Char"/>
    <w:basedOn w:val="5"/>
    <w:link w:val="3"/>
    <w:qFormat/>
    <w:uiPriority w:val="99"/>
    <w:rPr>
      <w:sz w:val="18"/>
      <w:szCs w:val="18"/>
    </w:rPr>
  </w:style>
  <w:style w:type="character" w:customStyle="1" w:styleId="7">
    <w:name w:val="页脚 Char"/>
    <w:basedOn w:val="5"/>
    <w:link w:val="2"/>
    <w:qFormat/>
    <w:uiPriority w:val="99"/>
    <w:rPr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2.png"/><Relationship Id="rId8" Type="http://schemas.openxmlformats.org/officeDocument/2006/relationships/image" Target="media/image1.png"/><Relationship Id="rId7" Type="http://schemas.openxmlformats.org/officeDocument/2006/relationships/theme" Target="theme/theme1.xml"/><Relationship Id="rId6" Type="http://schemas.openxmlformats.org/officeDocument/2006/relationships/footer" Target="footer2.xml"/><Relationship Id="rId5" Type="http://schemas.openxmlformats.org/officeDocument/2006/relationships/footer" Target="footer1.xml"/><Relationship Id="rId4" Type="http://schemas.openxmlformats.org/officeDocument/2006/relationships/header" Target="header2.xml"/><Relationship Id="rId3" Type="http://schemas.openxmlformats.org/officeDocument/2006/relationships/header" Target="header1.xml"/><Relationship Id="rId29" Type="http://schemas.openxmlformats.org/officeDocument/2006/relationships/fontTable" Target="fontTable.xml"/><Relationship Id="rId28" Type="http://schemas.openxmlformats.org/officeDocument/2006/relationships/customXml" Target="../customXml/item1.xml"/><Relationship Id="rId27" Type="http://schemas.openxmlformats.org/officeDocument/2006/relationships/image" Target="media/image20.png"/><Relationship Id="rId26" Type="http://schemas.openxmlformats.org/officeDocument/2006/relationships/image" Target="media/image19.png"/><Relationship Id="rId25" Type="http://schemas.openxmlformats.org/officeDocument/2006/relationships/image" Target="media/image18.jpeg"/><Relationship Id="rId24" Type="http://schemas.openxmlformats.org/officeDocument/2006/relationships/image" Target="media/image17.png"/><Relationship Id="rId23" Type="http://schemas.openxmlformats.org/officeDocument/2006/relationships/image" Target="media/image16.png"/><Relationship Id="rId22" Type="http://schemas.openxmlformats.org/officeDocument/2006/relationships/image" Target="media/image15.png"/><Relationship Id="rId21" Type="http://schemas.openxmlformats.org/officeDocument/2006/relationships/image" Target="media/image14.png"/><Relationship Id="rId20" Type="http://schemas.openxmlformats.org/officeDocument/2006/relationships/image" Target="media/image13.jpeg"/><Relationship Id="rId2" Type="http://schemas.openxmlformats.org/officeDocument/2006/relationships/settings" Target="settings.xml"/><Relationship Id="rId19" Type="http://schemas.openxmlformats.org/officeDocument/2006/relationships/image" Target="media/image12.png"/><Relationship Id="rId18" Type="http://schemas.openxmlformats.org/officeDocument/2006/relationships/image" Target="media/image11.png"/><Relationship Id="rId17" Type="http://schemas.openxmlformats.org/officeDocument/2006/relationships/image" Target="media/image10.png"/><Relationship Id="rId16" Type="http://schemas.openxmlformats.org/officeDocument/2006/relationships/image" Target="media/image9.png"/><Relationship Id="rId15" Type="http://schemas.openxmlformats.org/officeDocument/2006/relationships/image" Target="media/image8.jpeg"/><Relationship Id="rId14" Type="http://schemas.openxmlformats.org/officeDocument/2006/relationships/image" Target="media/image7.jpeg"/><Relationship Id="rId13" Type="http://schemas.openxmlformats.org/officeDocument/2006/relationships/image" Target="media/image6.jpeg"/><Relationship Id="rId12" Type="http://schemas.openxmlformats.org/officeDocument/2006/relationships/image" Target="media/image5.jpeg"/><Relationship Id="rId11" Type="http://schemas.openxmlformats.org/officeDocument/2006/relationships/image" Target="media/image4.png"/><Relationship Id="rId10" Type="http://schemas.openxmlformats.org/officeDocument/2006/relationships/image" Target="media/image3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="http://schemas.openxmlformats.org/officeDocument/2006/bibliography" xmlns:b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FBD8B74-E658-41D0-A583-9C5836944D7F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9</Pages>
  <Words>3474</Words>
  <Characters>3693</Characters>
  <Lines>0</Lines>
  <Paragraphs>0</Paragraphs>
  <TotalTime>6</TotalTime>
  <ScaleCrop>false</ScaleCrop>
  <LinksUpToDate>false</LinksUpToDate>
  <CharactersWithSpaces>3863</CharactersWithSpaces>
  <Application>WPS Office_12.1.0.24657_F1E327BC-269C-435d-A152-05C5408002CA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2017-07-19T12:07:00Z</dcterms:created>
  <dc:creator>组卷网zujuan.xkw.com</dc:creator>
  <cp:lastModifiedBy>WPS_1767008123</cp:lastModifiedBy>
  <dcterms:modified xsi:type="dcterms:W3CDTF">2026-01-22T09:37:38Z</dcterms:modified>
  <cp:revision>18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preprocessed">
    <vt:lpwstr>1</vt:lpwstr>
  </property>
  <property fmtid="{D5CDD505-2E9C-101B-9397-08002B2CF9AE}" pid="3" name="version">
    <vt:lpwstr>1214ea4d3f8347be9f5d61ba3089d893mty0mjuwodq3</vt:lpwstr>
  </property>
  <property fmtid="{D5CDD505-2E9C-101B-9397-08002B2CF9AE}" pid="4" name="KSOTemplateDocerSaveRecord">
    <vt:lpwstr>eyJoZGlkIjoiZGExZDA5NzQyNWQ5NjRkNzRmNzZmYmJjNmQ3NTEyNGEiLCJ1c2VySWQiOiIxNzg3MTg0NjQzIn0=</vt:lpwstr>
  </property>
  <property fmtid="{D5CDD505-2E9C-101B-9397-08002B2CF9AE}" pid="5" name="KSOProductBuildVer">
    <vt:lpwstr>2052-12.1.0.24657</vt:lpwstr>
  </property>
  <property fmtid="{D5CDD505-2E9C-101B-9397-08002B2CF9AE}" pid="6" name="ICV">
    <vt:lpwstr>D8EE6BFB0A8546B5BC77CEE39229AFE0_12</vt:lpwstr>
  </property>
</Properties>
</file>