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30"/>
        </w:rPr>
        <w:t>2025年安徽省中考地理试题</w:t>
      </w:r>
    </w:p>
    <w:p w14:paraId="062E4046">
      <w:pPr>
        <w:jc w:val="center"/>
        <w:textAlignment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22BDE09C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0F452CB7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一、单选题</w:t>
      </w:r>
    </w:p>
    <w:p w14:paraId="7689DAAE">
      <w:pPr>
        <w:shd w:val="clear" w:color="auto" w:fill="auto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  <w:sz w:val="21"/>
        </w:rPr>
        <w:t>近年来，我国智慧城乡建设日趋完善，智慧路封、智能交通信号灯等的使用，提高了通行效率，增强了居民的幸福感。某中学地理兴趣小组对安徽省某市进行实地调查，发现该市智慧路灯一般在日落后</w:t>
      </w:r>
      <w:r>
        <w:rPr>
          <w:sz w:val="21"/>
        </w:rPr>
        <w:t>10</w:t>
      </w:r>
      <w:r>
        <w:rPr>
          <w:rFonts w:ascii="楷体" w:hAnsi="楷体" w:eastAsia="楷体" w:cs="楷体"/>
          <w:sz w:val="21"/>
        </w:rPr>
        <w:t>-</w:t>
      </w:r>
      <w:r>
        <w:rPr>
          <w:sz w:val="21"/>
        </w:rPr>
        <w:t>30</w:t>
      </w:r>
      <w:r>
        <w:rPr>
          <w:rFonts w:ascii="楷体" w:hAnsi="楷体" w:eastAsia="楷体" w:cs="楷体"/>
          <w:sz w:val="21"/>
        </w:rPr>
        <w:t>分钟开启，且智慧路灯开启时刻有明显的季节差异。完成下面小题。</w:t>
      </w:r>
    </w:p>
    <w:p w14:paraId="2B3F2F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1．该市智慧路灯平均开启时刻最晚的季节是（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029AE0C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A．春季</w:t>
      </w:r>
      <w:r>
        <w:rPr>
          <w:sz w:val="21"/>
        </w:rPr>
        <w:tab/>
      </w:r>
      <w:r>
        <w:rPr>
          <w:sz w:val="21"/>
        </w:rPr>
        <w:t>B．夏季</w:t>
      </w:r>
      <w:r>
        <w:rPr>
          <w:sz w:val="21"/>
        </w:rPr>
        <w:tab/>
      </w:r>
      <w:r>
        <w:rPr>
          <w:sz w:val="21"/>
        </w:rPr>
        <w:t>C．秋季</w:t>
      </w:r>
      <w:r>
        <w:rPr>
          <w:sz w:val="21"/>
        </w:rPr>
        <w:tab/>
      </w:r>
      <w:r>
        <w:rPr>
          <w:sz w:val="21"/>
        </w:rPr>
        <w:t>D．冬季</w:t>
      </w:r>
    </w:p>
    <w:p w14:paraId="6F16E5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2．城乡智能交通信号灯的使用，可以（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19BE4DE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①降低运输速度②方便居民出行③减少运输总量④减轻交通污染</w:t>
      </w:r>
    </w:p>
    <w:p w14:paraId="7E88DE21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A．①②</w:t>
      </w:r>
      <w:r>
        <w:rPr>
          <w:sz w:val="21"/>
        </w:rPr>
        <w:tab/>
      </w:r>
      <w:r>
        <w:rPr>
          <w:sz w:val="21"/>
        </w:rPr>
        <w:t>B．①③</w:t>
      </w:r>
      <w:r>
        <w:rPr>
          <w:sz w:val="21"/>
        </w:rPr>
        <w:tab/>
      </w:r>
      <w:r>
        <w:rPr>
          <w:sz w:val="21"/>
        </w:rPr>
        <w:t>C．②④</w:t>
      </w:r>
      <w:r>
        <w:rPr>
          <w:sz w:val="21"/>
        </w:rPr>
        <w:tab/>
      </w:r>
      <w:r>
        <w:rPr>
          <w:sz w:val="21"/>
        </w:rPr>
        <w:t>D．③④</w:t>
      </w:r>
    </w:p>
    <w:p w14:paraId="75C8D35C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</w:p>
    <w:p w14:paraId="0A850FC3">
      <w:pPr>
        <w:shd w:val="clear" w:color="auto" w:fill="auto"/>
        <w:spacing w:line="36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在江淮沃野上，现代化的汽车工厂如雨后春笋般纷纷崛起，勾勒出安徽“智”造的壮丽图景。近年来，安徽省依托前瞻性产业政策、尖端科技赋能与全产业链协同发展优势，在汽率领域掀起创新浪潮。</w:t>
      </w:r>
      <w:r>
        <w:rPr>
          <w:sz w:val="21"/>
        </w:rPr>
        <w:t>2022</w:t>
      </w:r>
      <w:r>
        <w:rPr>
          <w:rFonts w:ascii="楷体" w:hAnsi="楷体" w:eastAsia="楷体" w:cs="楷体"/>
          <w:sz w:val="21"/>
        </w:rPr>
        <w:t>-</w:t>
      </w:r>
      <w:r>
        <w:rPr>
          <w:sz w:val="21"/>
        </w:rPr>
        <w:t>2024</w:t>
      </w:r>
      <w:r>
        <w:rPr>
          <w:rFonts w:ascii="楷体" w:hAnsi="楷体" w:eastAsia="楷体" w:cs="楷体"/>
          <w:sz w:val="21"/>
        </w:rPr>
        <w:t>年全省汽年总产量由全国第七位攀升至全国第二位，</w:t>
      </w:r>
      <w:r>
        <w:rPr>
          <w:sz w:val="21"/>
        </w:rPr>
        <w:t>2024</w:t>
      </w:r>
      <w:r>
        <w:rPr>
          <w:rFonts w:ascii="楷体" w:hAnsi="楷体" w:eastAsia="楷体" w:cs="楷体"/>
          <w:sz w:val="21"/>
        </w:rPr>
        <w:t>年全省汽车出口量登顶全国首位。完成下面小题。</w:t>
      </w:r>
    </w:p>
    <w:p w14:paraId="704BCCF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3．安徽省汽车产业的快速发展，能够（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349109C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A．增加居民就业机会</w:t>
      </w:r>
      <w:r>
        <w:rPr>
          <w:sz w:val="21"/>
        </w:rPr>
        <w:tab/>
      </w:r>
      <w:r>
        <w:rPr>
          <w:sz w:val="21"/>
        </w:rPr>
        <w:t>B．改变能源供给类型</w:t>
      </w:r>
      <w:r>
        <w:rPr>
          <w:sz w:val="21"/>
        </w:rPr>
        <w:tab/>
      </w:r>
    </w:p>
    <w:p w14:paraId="1630EE5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C．缓解城乡道路拥堵</w:t>
      </w:r>
      <w:r>
        <w:rPr>
          <w:sz w:val="21"/>
        </w:rPr>
        <w:tab/>
      </w:r>
      <w:r>
        <w:rPr>
          <w:sz w:val="21"/>
        </w:rPr>
        <w:t>D．减少工业用地面积</w:t>
      </w:r>
    </w:p>
    <w:p w14:paraId="6DB7C6F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4．安徽省汽车出口量快速增长，主要得益于该省（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5B32FF1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①高速铁路飞速发展②运输成本大幅下降③全产业链支撑较强④科技力量较为雄厚</w:t>
      </w:r>
    </w:p>
    <w:p w14:paraId="4EAFCF7F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A．①②</w:t>
      </w:r>
      <w:r>
        <w:rPr>
          <w:sz w:val="21"/>
        </w:rPr>
        <w:tab/>
      </w:r>
      <w:r>
        <w:rPr>
          <w:sz w:val="21"/>
        </w:rPr>
        <w:t>B．①③</w:t>
      </w:r>
      <w:r>
        <w:rPr>
          <w:sz w:val="21"/>
        </w:rPr>
        <w:tab/>
      </w:r>
      <w:r>
        <w:rPr>
          <w:sz w:val="21"/>
        </w:rPr>
        <w:t>C．②④</w:t>
      </w:r>
      <w:r>
        <w:rPr>
          <w:sz w:val="21"/>
        </w:rPr>
        <w:tab/>
      </w:r>
      <w:r>
        <w:rPr>
          <w:sz w:val="21"/>
        </w:rPr>
        <w:t>D．③④</w:t>
      </w:r>
    </w:p>
    <w:p w14:paraId="0082B761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</w:p>
    <w:p w14:paraId="521EFEED">
      <w:pPr>
        <w:shd w:val="clear" w:color="auto" w:fill="auto"/>
        <w:spacing w:line="36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粮食安全是国家安全的基本物质保障。改革开放以来，我国累计已建成</w:t>
      </w:r>
      <w:r>
        <w:rPr>
          <w:sz w:val="21"/>
        </w:rPr>
        <w:t>10</w:t>
      </w:r>
      <w:r>
        <w:rPr>
          <w:rFonts w:ascii="楷体" w:hAnsi="楷体" w:eastAsia="楷体" w:cs="楷体"/>
          <w:sz w:val="21"/>
        </w:rPr>
        <w:t>亿亩高标准农田。得益于农业科技的快速发展，我国人均占有粮食显著增加，粮食品质逐渐提高，人民食物消费结构升级，实现了从温饱不足到吃饱吃好的历史性转变、</w:t>
      </w:r>
      <w:r>
        <w:rPr>
          <w:sz w:val="21"/>
        </w:rPr>
        <w:t>2018</w:t>
      </w:r>
      <w:r>
        <w:rPr>
          <w:rFonts w:ascii="楷体" w:hAnsi="楷体" w:eastAsia="楷体" w:cs="楷体"/>
          <w:sz w:val="21"/>
        </w:rPr>
        <w:t>—</w:t>
      </w:r>
      <w:r>
        <w:rPr>
          <w:sz w:val="21"/>
        </w:rPr>
        <w:t>2020</w:t>
      </w:r>
      <w:r>
        <w:rPr>
          <w:rFonts w:ascii="楷体" w:hAnsi="楷体" w:eastAsia="楷体" w:cs="楷体"/>
          <w:sz w:val="21"/>
        </w:rPr>
        <w:t>年中国省级行政区粮食总产量的前两名是黑龙江省和河南省。下图示意黑龙江、河南两省位置及</w:t>
      </w:r>
      <w:r>
        <w:rPr>
          <w:sz w:val="21"/>
        </w:rPr>
        <w:t>2020</w:t>
      </w:r>
      <w:r>
        <w:rPr>
          <w:rFonts w:ascii="楷体" w:hAnsi="楷体" w:eastAsia="楷体" w:cs="楷体"/>
          <w:sz w:val="21"/>
        </w:rPr>
        <w:t>年两省人口和耕地面积数据。完成下面小题。</w:t>
      </w:r>
    </w:p>
    <w:p w14:paraId="3A13192A">
      <w:pPr>
        <w:shd w:val="clear" w:color="auto" w:fill="auto"/>
        <w:spacing w:line="360" w:lineRule="auto"/>
        <w:jc w:val="center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733675" cy="1866900"/>
            <wp:effectExtent l="0" t="0" r="9525" b="0"/>
            <wp:docPr id="100003" name="图片 100003" descr="@@@9261a801-8288-4df1-b8a9-ed9a1f797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9261a801-8288-4df1-b8a9-ed9a1f79790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25A7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5．目前，黑龙江省是我国粮食输出量最大的省。与河南省相比，黑龙江省输出量大主要是由于其（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29D471C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A．地广人稀</w:t>
      </w:r>
      <w:r>
        <w:rPr>
          <w:sz w:val="21"/>
        </w:rPr>
        <w:tab/>
      </w:r>
      <w:r>
        <w:rPr>
          <w:sz w:val="21"/>
        </w:rPr>
        <w:t>B．热量充足</w:t>
      </w:r>
      <w:r>
        <w:rPr>
          <w:sz w:val="21"/>
        </w:rPr>
        <w:tab/>
      </w:r>
      <w:r>
        <w:rPr>
          <w:sz w:val="21"/>
        </w:rPr>
        <w:t>C．降水丰富</w:t>
      </w:r>
      <w:r>
        <w:rPr>
          <w:sz w:val="21"/>
        </w:rPr>
        <w:tab/>
      </w:r>
      <w:r>
        <w:rPr>
          <w:sz w:val="21"/>
        </w:rPr>
        <w:t>D．开发较晚</w:t>
      </w:r>
    </w:p>
    <w:p w14:paraId="6B331ED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6．为保障优质农产品稳定供给，我国走科技强农之路的做法有（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11FC343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①培育高产优质品种②增加粮食进口数量③提高农业灌溉技术④使用大量化肥农药</w:t>
      </w:r>
    </w:p>
    <w:p w14:paraId="05EBC92C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A．①②</w:t>
      </w:r>
      <w:r>
        <w:rPr>
          <w:sz w:val="21"/>
        </w:rPr>
        <w:tab/>
      </w:r>
      <w:r>
        <w:rPr>
          <w:sz w:val="21"/>
        </w:rPr>
        <w:t>B．①③</w:t>
      </w:r>
      <w:r>
        <w:rPr>
          <w:sz w:val="21"/>
        </w:rPr>
        <w:tab/>
      </w:r>
      <w:r>
        <w:rPr>
          <w:sz w:val="21"/>
        </w:rPr>
        <w:t>C．②④</w:t>
      </w:r>
      <w:r>
        <w:rPr>
          <w:sz w:val="21"/>
        </w:rPr>
        <w:tab/>
      </w:r>
      <w:r>
        <w:rPr>
          <w:sz w:val="21"/>
        </w:rPr>
        <w:t>D．③④</w:t>
      </w:r>
    </w:p>
    <w:p w14:paraId="6F59B62C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</w:p>
    <w:p w14:paraId="484C2FEE">
      <w:pPr>
        <w:shd w:val="clear" w:color="auto" w:fill="auto"/>
        <w:spacing w:line="36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澳大利亚气候类型多样，热带沙漠和热带草原气候广布。热带沙漠气候多分布于中西部地区。在热带草原气候区生活着独特的生物—磁性白蚁，其栖息地位于季节性洪水泛滥的平原上。磁性白蚁建造的巢穴—白蚁丘（图</w:t>
      </w:r>
      <w:r>
        <w:rPr>
          <w:sz w:val="21"/>
        </w:rPr>
        <w:t>1</w:t>
      </w:r>
      <w:r>
        <w:rPr>
          <w:rFonts w:ascii="楷体" w:hAnsi="楷体" w:eastAsia="楷体" w:cs="楷体"/>
          <w:sz w:val="21"/>
        </w:rPr>
        <w:t>）通常比较高大，最高达</w:t>
      </w:r>
      <w:r>
        <w:rPr>
          <w:sz w:val="21"/>
        </w:rPr>
        <w:t>4</w:t>
      </w:r>
      <w:r>
        <w:rPr>
          <w:rFonts w:ascii="楷体" w:hAnsi="楷体" w:eastAsia="楷体" w:cs="楷体"/>
          <w:sz w:val="21"/>
        </w:rPr>
        <w:t>米，宽约</w:t>
      </w:r>
      <w:r>
        <w:rPr>
          <w:sz w:val="21"/>
        </w:rPr>
        <w:t>2</w:t>
      </w:r>
      <w:r>
        <w:rPr>
          <w:rFonts w:ascii="楷体" w:hAnsi="楷体" w:eastAsia="楷体" w:cs="楷体"/>
          <w:sz w:val="21"/>
        </w:rPr>
        <w:t>.</w:t>
      </w:r>
      <w:r>
        <w:rPr>
          <w:sz w:val="21"/>
        </w:rPr>
        <w:t>5</w:t>
      </w:r>
      <w:r>
        <w:rPr>
          <w:rFonts w:ascii="楷体" w:hAnsi="楷体" w:eastAsia="楷体" w:cs="楷体"/>
          <w:sz w:val="21"/>
        </w:rPr>
        <w:t>米，底座厚约</w:t>
      </w:r>
      <w:r>
        <w:rPr>
          <w:sz w:val="21"/>
        </w:rPr>
        <w:t>1</w:t>
      </w:r>
      <w:r>
        <w:rPr>
          <w:rFonts w:ascii="楷体" w:hAnsi="楷体" w:eastAsia="楷体" w:cs="楷体"/>
          <w:sz w:val="21"/>
        </w:rPr>
        <w:t>米。图</w:t>
      </w:r>
      <w:r>
        <w:rPr>
          <w:sz w:val="21"/>
        </w:rPr>
        <w:t>2</w:t>
      </w:r>
      <w:r>
        <w:rPr>
          <w:rFonts w:ascii="楷体" w:hAnsi="楷体" w:eastAsia="楷体" w:cs="楷体"/>
          <w:sz w:val="21"/>
        </w:rPr>
        <w:t>示意澳大利亚位置。完成下面小题。</w:t>
      </w:r>
    </w:p>
    <w:p w14:paraId="7CBFFE00">
      <w:pPr>
        <w:shd w:val="clear" w:color="auto" w:fill="auto"/>
        <w:spacing w:line="360" w:lineRule="auto"/>
        <w:jc w:val="center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90750" cy="1847850"/>
            <wp:effectExtent l="0" t="0" r="0" b="0"/>
            <wp:docPr id="100005" name="图片 100005" descr="@@@e311bc74-f131-493f-b0f0-350527805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e311bc74-f131-493f-b0f0-35052780544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52650" cy="1905000"/>
            <wp:effectExtent l="0" t="0" r="0" b="0"/>
            <wp:docPr id="100007" name="图片 100007" descr="@@@abcb5b9e-5488-49db-b6fb-090f636dca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abcb5b9e-5488-49db-b6fb-090f636dcae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3C7C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7．图中四地最适宜磁性白蚁栖息的是（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6A9D7EE7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A．①地</w:t>
      </w:r>
      <w:r>
        <w:rPr>
          <w:sz w:val="21"/>
        </w:rPr>
        <w:tab/>
      </w:r>
      <w:r>
        <w:rPr>
          <w:sz w:val="21"/>
        </w:rPr>
        <w:t>B．②地</w:t>
      </w:r>
      <w:r>
        <w:rPr>
          <w:sz w:val="21"/>
        </w:rPr>
        <w:tab/>
      </w:r>
      <w:r>
        <w:rPr>
          <w:sz w:val="21"/>
        </w:rPr>
        <w:t>C．③地</w:t>
      </w:r>
      <w:r>
        <w:rPr>
          <w:sz w:val="21"/>
        </w:rPr>
        <w:tab/>
      </w:r>
      <w:r>
        <w:rPr>
          <w:sz w:val="21"/>
        </w:rPr>
        <w:t>D．④地</w:t>
      </w:r>
    </w:p>
    <w:p w14:paraId="5E26C0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8．高大的白蚁丘能够有效（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42611963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A．抗震</w:t>
      </w:r>
      <w:r>
        <w:rPr>
          <w:sz w:val="21"/>
        </w:rPr>
        <w:tab/>
      </w:r>
      <w:r>
        <w:rPr>
          <w:sz w:val="21"/>
        </w:rPr>
        <w:t>B．抗寒</w:t>
      </w:r>
      <w:r>
        <w:rPr>
          <w:sz w:val="21"/>
        </w:rPr>
        <w:tab/>
      </w:r>
      <w:r>
        <w:rPr>
          <w:sz w:val="21"/>
        </w:rPr>
        <w:t>C．防洪</w:t>
      </w:r>
      <w:r>
        <w:rPr>
          <w:sz w:val="21"/>
        </w:rPr>
        <w:tab/>
      </w:r>
      <w:r>
        <w:rPr>
          <w:sz w:val="21"/>
        </w:rPr>
        <w:t>D．防风</w:t>
      </w:r>
    </w:p>
    <w:p w14:paraId="1AF769FF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</w:p>
    <w:p w14:paraId="2D29E57E">
      <w:pPr>
        <w:shd w:val="clear" w:color="auto" w:fill="auto"/>
        <w:spacing w:line="36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下图示意世界不同纬度陆地面积占比。完成下面小题。</w:t>
      </w:r>
    </w:p>
    <w:p w14:paraId="015CB3CA">
      <w:pPr>
        <w:shd w:val="clear" w:color="auto" w:fill="auto"/>
        <w:spacing w:line="360" w:lineRule="auto"/>
        <w:jc w:val="center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371850" cy="1695450"/>
            <wp:effectExtent l="0" t="0" r="0" b="0"/>
            <wp:docPr id="100009" name="图片 100009" descr="@@@1f44763e-41b4-43dc-8967-143dc5317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1f44763e-41b4-43dc-8967-143dc53173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FB905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9．K纬线经过的大陆为（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2F4ADD9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A．北美洲大陆</w:t>
      </w:r>
      <w:r>
        <w:rPr>
          <w:sz w:val="21"/>
        </w:rPr>
        <w:tab/>
      </w:r>
      <w:r>
        <w:rPr>
          <w:sz w:val="21"/>
        </w:rPr>
        <w:t>B．南极大陆</w:t>
      </w:r>
      <w:r>
        <w:rPr>
          <w:sz w:val="21"/>
        </w:rPr>
        <w:tab/>
      </w:r>
      <w:r>
        <w:rPr>
          <w:sz w:val="21"/>
        </w:rPr>
        <w:t>C．南美洲大陆</w:t>
      </w:r>
      <w:r>
        <w:rPr>
          <w:sz w:val="21"/>
        </w:rPr>
        <w:tab/>
      </w:r>
      <w:r>
        <w:rPr>
          <w:sz w:val="21"/>
        </w:rPr>
        <w:t>D．亚欧大陆</w:t>
      </w:r>
    </w:p>
    <w:p w14:paraId="7996795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10．图中（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629005B4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A．K纬线经过的大陆平均海拔低</w:t>
      </w:r>
      <w:r>
        <w:rPr>
          <w:sz w:val="21"/>
        </w:rPr>
        <w:tab/>
      </w:r>
      <w:r>
        <w:rPr>
          <w:sz w:val="21"/>
        </w:rPr>
        <w:t>B．P纬线经过的大陆地形单一</w:t>
      </w:r>
    </w:p>
    <w:p w14:paraId="1DA051E0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C．Q纬线附近地区终年温和多雨</w:t>
      </w:r>
      <w:r>
        <w:rPr>
          <w:sz w:val="21"/>
        </w:rPr>
        <w:tab/>
      </w:r>
      <w:r>
        <w:rPr>
          <w:sz w:val="21"/>
        </w:rPr>
        <w:t>D．M纬线附近地区年温差较小</w:t>
      </w:r>
    </w:p>
    <w:p w14:paraId="78B46BC3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</w:p>
    <w:p w14:paraId="17DEED03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37DB6C46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二、综合题</w:t>
      </w:r>
    </w:p>
    <w:p w14:paraId="71ED3F4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11．阅读材料，完成下面小题。</w:t>
      </w:r>
    </w:p>
    <w:p w14:paraId="465F09AE">
      <w:pPr>
        <w:shd w:val="clear" w:color="auto" w:fill="auto"/>
        <w:spacing w:line="360" w:lineRule="auto"/>
        <w:ind w:firstLine="560"/>
        <w:jc w:val="left"/>
        <w:textAlignment w:val="center"/>
        <w:rPr>
          <w:sz w:val="21"/>
        </w:rPr>
      </w:pPr>
      <w:r>
        <w:rPr>
          <w:rFonts w:ascii="楷体" w:hAnsi="楷体" w:eastAsia="楷体" w:cs="楷体"/>
          <w:sz w:val="21"/>
        </w:rPr>
        <w:t>秘鲁钱凯港是由中国投资建设和运营的大型深水港，是中国－拉丁美洲共建“一带一路”的标志性项目。近年来，中国出口到巴西的产品以机械、电子产品等为主，从巴西进口的产品以大豆、牛肉、铁矿石等为主。中巴贸易往来的货轮主要沿巴拿马运河航线航行、通过运河时，过闸等的时间较长，缴纳的通行费用较高。钱凯港将与规划中的“两洋铁路”（横跨南美洲大陆，连接大西洋和太平洋的铁路）中线接轨，为中国－拉丁美洲贸易开辟新航线，下图示意中国－拉丁美洲主要航线。</w:t>
      </w:r>
    </w:p>
    <w:p w14:paraId="3A1E8BBC">
      <w:pPr>
        <w:shd w:val="clear" w:color="auto" w:fill="auto"/>
        <w:spacing w:line="360" w:lineRule="auto"/>
        <w:jc w:val="center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933825" cy="2628900"/>
            <wp:effectExtent l="0" t="0" r="9525" b="0"/>
            <wp:docPr id="100011" name="图片 100011" descr="@@@6ea77609-f798-4ad1-bff9-bf8fc09fc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6ea77609-f798-4ad1-bff9-bf8fc09fc72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AB0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(1)目前，中国出口到巴西的产品多为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sz w:val="21"/>
        </w:rPr>
        <w:t>（填“工业制成品”或“初级产品”）。规划中的“两洋铁路”中线位于地球上的五带中的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sz w:val="21"/>
        </w:rPr>
        <w:t>带，跨越世界上水量最大的河流，该河流是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sz w:val="21"/>
        </w:rPr>
        <w:t>（填河流名称）。</w:t>
      </w:r>
    </w:p>
    <w:p w14:paraId="4D5E8D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(2)未来，图中甲地的铁矿石运往中国，将会选择规划中的“两洋铁路”—太平洋航线。与巴拿马运河航线相比，简述“两洋铁路”—太平洋航线具有的优势。</w:t>
      </w:r>
    </w:p>
    <w:p w14:paraId="0D7FC8B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(3)“要想富，先修路”。规划中的“两洋铁路”中线将助力沿线居民脱贫致富，减少当地居民为获取耕地而造成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sz w:val="21"/>
        </w:rPr>
        <w:t>（填森林类型）的破坏，保护“地球之肺”，维护全球生态平衡。</w:t>
      </w:r>
    </w:p>
    <w:p w14:paraId="1321BC6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传统民居是地域文化的重要载体。具有深厚的文化底蕴，是不同区域劳动人民与自然环境相适应的体现，人们根据气温、降水等要素的差异划分了中国建筑气候区。下图示意中国建筑气候区分布和部分地区的传统民居。下表为中国建筑气候区划分依据（部分季风气候区）。据此完成下列问题。</w:t>
      </w:r>
    </w:p>
    <w:p w14:paraId="0B38BA97">
      <w:pPr>
        <w:shd w:val="clear" w:color="auto" w:fill="auto"/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</w:pPr>
    </w:p>
    <w:p w14:paraId="431007B3">
      <w:pPr>
        <w:shd w:val="clear" w:color="auto" w:fill="auto"/>
        <w:spacing w:line="360" w:lineRule="auto"/>
        <w:jc w:val="center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610100" cy="2362200"/>
            <wp:effectExtent l="0" t="0" r="0" b="0"/>
            <wp:docPr id="100013" name="图片 100013" descr="@@@29c8da3a-4a59-494c-9208-6327d14c0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29c8da3a-4a59-494c-9208-6327d14c015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70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50"/>
        <w:gridCol w:w="4585"/>
      </w:tblGrid>
      <w:tr w14:paraId="32E3E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93F8FF"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1"/>
              </w:rPr>
            </w:pPr>
            <w:r>
              <w:rPr>
                <w:rFonts w:hint="eastAsia" w:ascii="黑体" w:hAnsi="黑体" w:eastAsia="黑体" w:cs="黑体"/>
                <w:sz w:val="21"/>
              </w:rPr>
              <w:t>建筑气候区</w:t>
            </w:r>
          </w:p>
        </w:tc>
        <w:tc>
          <w:tcPr>
            <w:tcW w:w="4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B65D9F"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eastAsia" w:ascii="黑体" w:hAnsi="黑体" w:eastAsia="黑体" w:cs="黑体"/>
                <w:sz w:val="21"/>
              </w:rPr>
            </w:pPr>
            <w:r>
              <w:rPr>
                <w:rFonts w:hint="eastAsia" w:ascii="黑体" w:hAnsi="黑体" w:eastAsia="黑体" w:cs="黑体"/>
                <w:sz w:val="21"/>
              </w:rPr>
              <w:t>划分依据</w:t>
            </w:r>
          </w:p>
        </w:tc>
      </w:tr>
      <w:tr w14:paraId="4481E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474851">
            <w:pPr>
              <w:shd w:val="clear" w:color="auto" w:fill="auto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楷体" w:hAnsi="楷体" w:eastAsia="楷体" w:cs="楷体"/>
                <w:sz w:val="21"/>
              </w:rPr>
              <w:t>严寒地区</w:t>
            </w:r>
          </w:p>
        </w:tc>
        <w:tc>
          <w:tcPr>
            <w:tcW w:w="4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E0EB75">
            <w:pPr>
              <w:shd w:val="clear" w:color="auto" w:fill="auto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sz w:val="21"/>
              </w:rPr>
              <w:t>1</w:t>
            </w:r>
            <w:r>
              <w:rPr>
                <w:rFonts w:ascii="楷体" w:hAnsi="楷体" w:eastAsia="楷体" w:cs="楷体"/>
                <w:sz w:val="21"/>
              </w:rPr>
              <w:t>月平均气温＜-</w:t>
            </w:r>
            <w:r>
              <w:rPr>
                <w:sz w:val="21"/>
              </w:rPr>
              <w:t>10</w:t>
            </w:r>
            <w:r>
              <w:rPr>
                <w:rFonts w:ascii="楷体" w:hAnsi="楷体" w:eastAsia="楷体" w:cs="楷体"/>
                <w:sz w:val="21"/>
              </w:rPr>
              <w:t>℃</w:t>
            </w:r>
          </w:p>
        </w:tc>
      </w:tr>
      <w:tr w14:paraId="7B18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92AAA3">
            <w:pPr>
              <w:shd w:val="clear" w:color="auto" w:fill="auto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楷体" w:hAnsi="楷体" w:eastAsia="楷体" w:cs="楷体"/>
                <w:sz w:val="21"/>
              </w:rPr>
              <w:t>寒冷地区</w:t>
            </w:r>
          </w:p>
        </w:tc>
        <w:tc>
          <w:tcPr>
            <w:tcW w:w="4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691E7F">
            <w:pPr>
              <w:shd w:val="clear" w:color="auto" w:fill="auto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楷体" w:hAnsi="楷体" w:eastAsia="楷体" w:cs="楷体"/>
                <w:sz w:val="21"/>
              </w:rPr>
              <w:t>-</w:t>
            </w:r>
            <w:r>
              <w:rPr>
                <w:sz w:val="21"/>
              </w:rPr>
              <w:t>10</w:t>
            </w:r>
            <w:r>
              <w:rPr>
                <w:rFonts w:ascii="楷体" w:hAnsi="楷体" w:eastAsia="楷体" w:cs="楷体"/>
                <w:sz w:val="21"/>
              </w:rPr>
              <w:t>℃＜</w:t>
            </w:r>
            <w:r>
              <w:rPr>
                <w:sz w:val="21"/>
              </w:rPr>
              <w:t>1</w:t>
            </w:r>
            <w:r>
              <w:rPr>
                <w:rFonts w:ascii="楷体" w:hAnsi="楷体" w:eastAsia="楷体" w:cs="楷体"/>
                <w:sz w:val="21"/>
              </w:rPr>
              <w:t>月平均气温≤</w:t>
            </w:r>
            <w:r>
              <w:rPr>
                <w:sz w:val="21"/>
              </w:rPr>
              <w:t>0</w:t>
            </w:r>
            <w:r>
              <w:rPr>
                <w:rFonts w:ascii="楷体" w:hAnsi="楷体" w:eastAsia="楷体" w:cs="楷体"/>
                <w:sz w:val="21"/>
              </w:rPr>
              <w:t>℃</w:t>
            </w:r>
          </w:p>
        </w:tc>
      </w:tr>
      <w:tr w14:paraId="4510B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24805D">
            <w:pPr>
              <w:shd w:val="clear" w:color="auto" w:fill="auto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楷体" w:hAnsi="楷体" w:eastAsia="楷体" w:cs="楷体"/>
                <w:sz w:val="21"/>
              </w:rPr>
              <w:t>夏热冬冷地区</w:t>
            </w:r>
          </w:p>
        </w:tc>
        <w:tc>
          <w:tcPr>
            <w:tcW w:w="4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855D28">
            <w:pPr>
              <w:shd w:val="clear" w:color="auto" w:fill="auto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sz w:val="21"/>
              </w:rPr>
              <w:t>0</w:t>
            </w:r>
            <w:r>
              <w:rPr>
                <w:rFonts w:ascii="楷体" w:hAnsi="楷体" w:eastAsia="楷体" w:cs="楷体"/>
                <w:sz w:val="21"/>
              </w:rPr>
              <w:t>℃＜</w:t>
            </w:r>
            <w:r>
              <w:rPr>
                <w:sz w:val="21"/>
              </w:rPr>
              <w:t>1</w:t>
            </w:r>
            <w:r>
              <w:rPr>
                <w:rFonts w:ascii="楷体" w:hAnsi="楷体" w:eastAsia="楷体" w:cs="楷体"/>
                <w:sz w:val="21"/>
              </w:rPr>
              <w:t>月平均气温＜</w:t>
            </w:r>
            <w:r>
              <w:rPr>
                <w:sz w:val="21"/>
              </w:rPr>
              <w:t>10</w:t>
            </w:r>
            <w:r>
              <w:rPr>
                <w:rFonts w:ascii="楷体" w:hAnsi="楷体" w:eastAsia="楷体" w:cs="楷体"/>
                <w:sz w:val="21"/>
              </w:rPr>
              <w:t>℃</w:t>
            </w:r>
          </w:p>
        </w:tc>
      </w:tr>
      <w:tr w14:paraId="2B151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6656E8">
            <w:pPr>
              <w:shd w:val="clear" w:color="auto" w:fill="auto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rFonts w:ascii="楷体" w:hAnsi="楷体" w:eastAsia="楷体" w:cs="楷体"/>
                <w:sz w:val="21"/>
              </w:rPr>
              <w:t>夏热冬暖地区</w:t>
            </w:r>
          </w:p>
        </w:tc>
        <w:tc>
          <w:tcPr>
            <w:tcW w:w="4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DBBF96">
            <w:pPr>
              <w:shd w:val="clear" w:color="auto" w:fill="auto"/>
              <w:spacing w:line="360" w:lineRule="auto"/>
              <w:jc w:val="center"/>
              <w:textAlignment w:val="center"/>
              <w:rPr>
                <w:sz w:val="21"/>
              </w:rPr>
            </w:pPr>
            <w:r>
              <w:rPr>
                <w:sz w:val="21"/>
              </w:rPr>
              <w:t>10</w:t>
            </w:r>
            <w:r>
              <w:rPr>
                <w:rFonts w:ascii="楷体" w:hAnsi="楷体" w:eastAsia="楷体" w:cs="楷体"/>
                <w:sz w:val="21"/>
              </w:rPr>
              <w:t>℃＜</w:t>
            </w:r>
            <w:r>
              <w:rPr>
                <w:sz w:val="21"/>
              </w:rPr>
              <w:t>1</w:t>
            </w:r>
            <w:r>
              <w:rPr>
                <w:rFonts w:ascii="楷体" w:hAnsi="楷体" w:eastAsia="楷体" w:cs="楷体"/>
                <w:sz w:val="21"/>
              </w:rPr>
              <w:t>月平均气温</w:t>
            </w:r>
          </w:p>
        </w:tc>
      </w:tr>
    </w:tbl>
    <w:p w14:paraId="63A380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(1)图中M、N两地，属于中国建筑气候区中寒冷地区的是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sz w:val="21"/>
        </w:rPr>
        <w:t>，夏热冬冷地区的是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sz w:val="21"/>
        </w:rPr>
        <w:t>。</w:t>
      </w:r>
    </w:p>
    <w:p w14:paraId="47C781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(2)同为中国建筑气候严寒地区，东北地区大部分属于严寒地区是由于其纬度较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sz w:val="21"/>
        </w:rPr>
        <w:t>，青藏地区大部分属于严寒地区是由于其平均海拔较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sz w:val="21"/>
        </w:rPr>
        <w:t>。</w:t>
      </w:r>
    </w:p>
    <w:p w14:paraId="635F1ED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(3)傣家竹楼是一种底部架空，屋顶坡度大的竹木结构房屋，该建筑有效通风、散热、排水，其主要分布在图中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sz w:val="21"/>
        </w:rPr>
        <w:t>（填①或②）地。图中窑洞是我国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sz w:val="21"/>
        </w:rPr>
        <w:t>（"南方"或"北方"）地区别具特色的传统民居。窑洞利用黄土易于开凿的特性，常位于山体南坡，是一种人地和谐的生态传统民居。请说出窑洞建在黄土深厚的山体南坡的理由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sz w:val="21"/>
        </w:rPr>
        <w:t>。</w:t>
      </w:r>
    </w:p>
    <w:p w14:paraId="0030531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黄河流域孕育了华夏农耕文化，是中华文明的重要发祥地。历史时期，黄河流域的黄土高原地区水土流失严重，黄河下游干流改道频繁。新中国成立以来，通过国家高质量发展战略的实施，黄河流域现已满目青翠，绿意盎然，人与环境和谐共生。下图示意黄河流域范围，据此完成下列问题。</w:t>
      </w:r>
    </w:p>
    <w:p w14:paraId="21D029E1">
      <w:pPr>
        <w:shd w:val="clear" w:color="auto" w:fill="auto"/>
        <w:spacing w:line="360" w:lineRule="auto"/>
        <w:jc w:val="center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067300" cy="1943100"/>
            <wp:effectExtent l="0" t="0" r="0" b="0"/>
            <wp:docPr id="100015" name="图片 100015" descr="@@@f5aeb249-7405-4c25-bf90-0b9232ee70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f5aeb249-7405-4c25-bf90-0b9232ee70bb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5C8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(1)简述黄河为古代农业生产提供的便利条件。</w:t>
      </w:r>
    </w:p>
    <w:p w14:paraId="501F35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(2)历史时期，黄河下游干支流曾水量丰沛，船只如梭，湖泊星罗棋布。后来，黄河流域水土流失严重，其中水土流失最严重的地区位于黄河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sz w:val="21"/>
        </w:rPr>
        <w:t>（填“上游”或“中游”或“下游”）。一遇暴雨，黄土高原水沙俱下，许多河湖因泥沙淤塞而消失，黄河下游河床也不断抬高。为防止洪水外溢，人们被迫不断加高堤坝，从而形成“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rPr>
          <w:sz w:val="21"/>
        </w:rPr>
        <w:t>”河。</w:t>
      </w:r>
    </w:p>
    <w:p w14:paraId="75F8A5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(3)新中国成立以来，我国采取一系列措施对黄河流域进行综合整治，保障了黄河长期安澜，传承弘扬了黄河文化，让黄河成为造福人民的幸福河。简述我国治理黄河流域水土流失采取的具体措施。</w:t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44D550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38725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5CE42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2B45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3B5358E0"/>
    <w:rsid w:val="48E2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2457</Words>
  <Characters>2559</Characters>
  <Lines>0</Lines>
  <Paragraphs>0</Paragraphs>
  <TotalTime>18</TotalTime>
  <ScaleCrop>false</ScaleCrop>
  <LinksUpToDate>false</LinksUpToDate>
  <CharactersWithSpaces>2670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WPS_1767008123</cp:lastModifiedBy>
  <dcterms:modified xsi:type="dcterms:W3CDTF">2026-01-22T08:32:33Z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9ee2917568ad4235a468b81e58488938mtyxnzc2mdu1ng</vt:lpwstr>
  </property>
  <property fmtid="{D5CDD505-2E9C-101B-9397-08002B2CF9AE}" pid="4" name="KSOTemplateDocerSaveRecord">
    <vt:lpwstr>eyJoZGlkIjoiZGExZDA5NzQyNWQ5NjRkNzRmNzZmYmJjNmQ3NTEyNGEiLCJ1c2VySWQiOiIxNzg3MTg0NjQzIn0=</vt:lpwstr>
  </property>
  <property fmtid="{D5CDD505-2E9C-101B-9397-08002B2CF9AE}" pid="5" name="KSOProductBuildVer">
    <vt:lpwstr>2052-12.1.0.24657</vt:lpwstr>
  </property>
  <property fmtid="{D5CDD505-2E9C-101B-9397-08002B2CF9AE}" pid="6" name="ICV">
    <vt:lpwstr>700158091EA4408689230B56C9B3D72E_12</vt:lpwstr>
  </property>
</Properties>
</file>